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8B330" w14:textId="1CA5BE7D" w:rsidR="0012388D" w:rsidRDefault="00772BDC" w:rsidP="00CA5734">
      <w:pPr>
        <w:rPr>
          <w:rFonts w:cs="Arial"/>
        </w:rPr>
      </w:pPr>
      <w:bookmarkStart w:id="0" w:name="_top"/>
      <w:bookmarkStart w:id="1" w:name="_GoBack"/>
      <w:bookmarkEnd w:id="0"/>
      <w:bookmarkEnd w:id="1"/>
      <w:r>
        <w:rPr>
          <w:rFonts w:cs="Arial"/>
          <w:noProof/>
          <w:lang w:eastAsia="en-GB" w:bidi="ar-SA"/>
        </w:rPr>
        <w:drawing>
          <wp:inline distT="0" distB="0" distL="0" distR="0" wp14:anchorId="5E4F3D77" wp14:editId="1D898FC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2"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81F2EE7" w14:textId="77777777" w:rsidR="00A671E6" w:rsidRPr="00A671E6" w:rsidRDefault="00A671E6" w:rsidP="00A671E6">
      <w:pPr>
        <w:rPr>
          <w:color w:val="FF0000"/>
        </w:rPr>
      </w:pPr>
    </w:p>
    <w:p w14:paraId="17B0B7A3" w14:textId="77777777" w:rsidR="004D3026" w:rsidRDefault="004D3026" w:rsidP="004D3026">
      <w:pPr>
        <w:tabs>
          <w:tab w:val="left" w:pos="851"/>
        </w:tabs>
        <w:rPr>
          <w:b/>
          <w:sz w:val="28"/>
          <w:szCs w:val="28"/>
        </w:rPr>
      </w:pPr>
      <w:r>
        <w:rPr>
          <w:b/>
          <w:sz w:val="28"/>
          <w:szCs w:val="28"/>
        </w:rPr>
        <w:t>2 October 2015</w:t>
      </w:r>
    </w:p>
    <w:p w14:paraId="7181A61A" w14:textId="77777777" w:rsidR="004D3026" w:rsidRPr="009D03CC" w:rsidRDefault="004D3026" w:rsidP="004D3026">
      <w:pPr>
        <w:rPr>
          <w:b/>
          <w:sz w:val="28"/>
          <w:szCs w:val="28"/>
        </w:rPr>
      </w:pPr>
      <w:r w:rsidRPr="009D03CC">
        <w:rPr>
          <w:b/>
          <w:sz w:val="28"/>
          <w:szCs w:val="28"/>
        </w:rPr>
        <w:t>[24–15]</w:t>
      </w:r>
    </w:p>
    <w:p w14:paraId="1A442787" w14:textId="77777777" w:rsidR="00A671E6" w:rsidRPr="00A671E6" w:rsidRDefault="00A671E6" w:rsidP="00A671E6"/>
    <w:p w14:paraId="43AD316C" w14:textId="2A48D108" w:rsidR="0012388D" w:rsidRPr="00C134EB" w:rsidRDefault="00B425AA" w:rsidP="00B425AA">
      <w:pPr>
        <w:pStyle w:val="FSTitle"/>
        <w:rPr>
          <w:b/>
        </w:rPr>
      </w:pPr>
      <w:r w:rsidRPr="00C134EB">
        <w:rPr>
          <w:b/>
        </w:rPr>
        <w:t>A</w:t>
      </w:r>
      <w:r w:rsidR="00DD265C" w:rsidRPr="00C134EB">
        <w:rPr>
          <w:b/>
        </w:rPr>
        <w:t>pproval</w:t>
      </w:r>
      <w:r w:rsidRPr="00C134EB">
        <w:rPr>
          <w:b/>
        </w:rPr>
        <w:t xml:space="preserve"> R</w:t>
      </w:r>
      <w:r w:rsidR="00DD265C" w:rsidRPr="00C134EB">
        <w:rPr>
          <w:b/>
        </w:rPr>
        <w:t>eport</w:t>
      </w:r>
      <w:r w:rsidRPr="00C134EB">
        <w:rPr>
          <w:b/>
        </w:rPr>
        <w:t xml:space="preserve"> – </w:t>
      </w:r>
      <w:r w:rsidR="00CA5734" w:rsidRPr="00C134EB">
        <w:rPr>
          <w:b/>
        </w:rPr>
        <w:t>P</w:t>
      </w:r>
      <w:r w:rsidR="00DD265C" w:rsidRPr="00C134EB">
        <w:rPr>
          <w:b/>
        </w:rPr>
        <w:t>roposal</w:t>
      </w:r>
      <w:r w:rsidR="00CA5734" w:rsidRPr="00C134EB">
        <w:rPr>
          <w:b/>
        </w:rPr>
        <w:t xml:space="preserve"> P</w:t>
      </w:r>
      <w:r w:rsidR="000D323B" w:rsidRPr="00C134EB">
        <w:rPr>
          <w:b/>
        </w:rPr>
        <w:t>1037</w:t>
      </w:r>
    </w:p>
    <w:p w14:paraId="664DCBBB" w14:textId="77777777" w:rsidR="003A7B84" w:rsidRPr="00CA5734" w:rsidRDefault="003A7B84" w:rsidP="00A671E6"/>
    <w:p w14:paraId="453593E1" w14:textId="3171ACF9" w:rsidR="003A7B84" w:rsidRPr="000D323B" w:rsidRDefault="000D323B" w:rsidP="00871116">
      <w:pPr>
        <w:pBdr>
          <w:bottom w:val="single" w:sz="12" w:space="1" w:color="auto"/>
        </w:pBdr>
        <w:tabs>
          <w:tab w:val="left" w:pos="1140"/>
        </w:tabs>
        <w:rPr>
          <w:rFonts w:cs="Tahoma"/>
          <w:bCs/>
          <w:sz w:val="32"/>
        </w:rPr>
      </w:pPr>
      <w:r w:rsidRPr="000D323B">
        <w:rPr>
          <w:rFonts w:cs="Tahoma"/>
          <w:bCs/>
          <w:sz w:val="32"/>
        </w:rPr>
        <w:t>Amendments associated with Nutrition Content &amp; Health Claims</w:t>
      </w:r>
    </w:p>
    <w:p w14:paraId="7105AD56" w14:textId="77777777" w:rsidR="000D323B" w:rsidRPr="00E327A6" w:rsidRDefault="000D323B" w:rsidP="00871116">
      <w:pPr>
        <w:pBdr>
          <w:bottom w:val="single" w:sz="12" w:space="1" w:color="auto"/>
        </w:pBdr>
        <w:tabs>
          <w:tab w:val="left" w:pos="1140"/>
        </w:tabs>
        <w:rPr>
          <w:rFonts w:cs="Arial"/>
          <w:bCs/>
        </w:rPr>
      </w:pPr>
    </w:p>
    <w:p w14:paraId="337705FE" w14:textId="77777777" w:rsidR="003A7B84" w:rsidRPr="00E327A6" w:rsidRDefault="003A7B84" w:rsidP="003A7B84"/>
    <w:p w14:paraId="782DA049" w14:textId="397B1992" w:rsidR="00EB6590" w:rsidRDefault="000F3CFE" w:rsidP="00CA5734">
      <w:r w:rsidRPr="000D323B">
        <w:t>Food Standards Australia New Zealand (FSANZ) has</w:t>
      </w:r>
      <w:r w:rsidR="00081B0A" w:rsidRPr="000D323B">
        <w:t xml:space="preserve"> assessed </w:t>
      </w:r>
      <w:r w:rsidR="00B957F5">
        <w:t>a p</w:t>
      </w:r>
      <w:r w:rsidR="00CA5734" w:rsidRPr="000D323B">
        <w:t>roposal</w:t>
      </w:r>
      <w:r w:rsidR="00081B0A" w:rsidRPr="000D323B">
        <w:t xml:space="preserve"> </w:t>
      </w:r>
      <w:r w:rsidR="003A7B84" w:rsidRPr="000D323B">
        <w:t xml:space="preserve">prepared by FSANZ </w:t>
      </w:r>
      <w:r w:rsidR="00CA5734" w:rsidRPr="000D323B">
        <w:t>to</w:t>
      </w:r>
      <w:r w:rsidR="00081B0A" w:rsidRPr="000D323B">
        <w:t xml:space="preserve"> </w:t>
      </w:r>
      <w:r w:rsidR="000D323B" w:rsidRPr="000D323B">
        <w:t>address inconsistencies and lack of clarity associated with Standard 1.2.7 – Nutrition, Health and Related Claims and related standards, to ensure that Standard 1.2.7 operates as intended</w:t>
      </w:r>
      <w:r w:rsidR="003E02D4">
        <w:t xml:space="preserve">. </w:t>
      </w:r>
    </w:p>
    <w:p w14:paraId="2164880F" w14:textId="3B1F9BB4" w:rsidR="000F654B" w:rsidRDefault="000F654B" w:rsidP="00CA5734"/>
    <w:p w14:paraId="6210D747" w14:textId="75F60EC5" w:rsidR="000F654B" w:rsidRPr="000D323B" w:rsidRDefault="000F654B" w:rsidP="00CA5734">
      <w:r>
        <w:t xml:space="preserve">The Proposal also included consideration of an exemption for certain elements of the Health Star Rating system from the requirements for claims in the </w:t>
      </w:r>
      <w:r w:rsidRPr="000F654B">
        <w:rPr>
          <w:i/>
        </w:rPr>
        <w:t>Australia New Zealand Food Standards Code</w:t>
      </w:r>
      <w:r>
        <w:t>.</w:t>
      </w:r>
    </w:p>
    <w:p w14:paraId="096B0782" w14:textId="77777777" w:rsidR="00CA5734" w:rsidRPr="000D323B" w:rsidRDefault="00CA5734" w:rsidP="00CA5734"/>
    <w:p w14:paraId="6A0BCAC9" w14:textId="04CA86A4" w:rsidR="00081B0A" w:rsidRDefault="00081B0A" w:rsidP="00CA5734">
      <w:r w:rsidRPr="000D323B">
        <w:t>On</w:t>
      </w:r>
      <w:r w:rsidR="000D323B" w:rsidRPr="000D323B">
        <w:t xml:space="preserve"> 25 May 2015</w:t>
      </w:r>
      <w:r w:rsidR="003A7B84" w:rsidRPr="000D323B">
        <w:t>,</w:t>
      </w:r>
      <w:r w:rsidRPr="000D323B">
        <w:t xml:space="preserve"> FSANZ sought </w:t>
      </w:r>
      <w:r w:rsidR="003A7B84" w:rsidRPr="000D323B">
        <w:t xml:space="preserve">submissions </w:t>
      </w:r>
      <w:r w:rsidR="00A671E6" w:rsidRPr="000D323B">
        <w:t xml:space="preserve">on </w:t>
      </w:r>
      <w:r w:rsidR="00F526BD" w:rsidRPr="000D323B">
        <w:t xml:space="preserve">a draft </w:t>
      </w:r>
      <w:r w:rsidR="00E30092" w:rsidRPr="000D323B">
        <w:t>variation</w:t>
      </w:r>
      <w:r w:rsidR="003A7B84" w:rsidRPr="000D323B">
        <w:t xml:space="preserve"> and published an </w:t>
      </w:r>
      <w:r w:rsidR="00EC21DF">
        <w:t>associated r</w:t>
      </w:r>
      <w:r w:rsidR="003A7B84">
        <w:t>eport</w:t>
      </w:r>
      <w:r>
        <w:t>.</w:t>
      </w:r>
      <w:r w:rsidR="00F526BD">
        <w:t xml:space="preserve"> FSANZ received</w:t>
      </w:r>
      <w:r w:rsidR="00616539">
        <w:t xml:space="preserve"> 13</w:t>
      </w:r>
      <w:r w:rsidR="00F526BD">
        <w:t xml:space="preserve"> submissions.</w:t>
      </w:r>
    </w:p>
    <w:p w14:paraId="616F6293" w14:textId="77777777" w:rsidR="00CA5734" w:rsidRDefault="00CA5734" w:rsidP="00CA5734"/>
    <w:p w14:paraId="2BEAA564" w14:textId="6BCA6920" w:rsidR="004D3026" w:rsidRPr="003D56F8" w:rsidRDefault="004D3026" w:rsidP="008E0C66">
      <w:pPr>
        <w:autoSpaceDE w:val="0"/>
      </w:pPr>
      <w:r w:rsidRPr="003D56F8">
        <w:t>FSANZ approved the draft variation</w:t>
      </w:r>
      <w:r>
        <w:t>s</w:t>
      </w:r>
      <w:r w:rsidRPr="003D56F8">
        <w:t xml:space="preserve"> on 17 September 2015. The </w:t>
      </w:r>
      <w:r w:rsidRPr="003D56F8">
        <w:rPr>
          <w:rFonts w:cs="Helvetica"/>
        </w:rPr>
        <w:t xml:space="preserve">Australia and New Zealand Ministerial Forum on Food </w:t>
      </w:r>
      <w:r w:rsidRPr="003D56F8">
        <w:rPr>
          <w:rFonts w:cs="Arial"/>
        </w:rPr>
        <w:t>Regulation</w:t>
      </w:r>
      <w:r w:rsidR="00143DBA">
        <w:rPr>
          <w:rFonts w:ascii="ZWAdobeF" w:hAnsi="ZWAdobeF" w:cs="ZWAdobeF"/>
          <w:sz w:val="2"/>
          <w:szCs w:val="2"/>
        </w:rPr>
        <w:t>0F</w:t>
      </w:r>
      <w:r w:rsidR="008E0C66">
        <w:rPr>
          <w:rFonts w:ascii="ZWAdobeF" w:hAnsi="ZWAdobeF" w:cs="ZWAdobeF"/>
          <w:sz w:val="2"/>
          <w:szCs w:val="2"/>
        </w:rPr>
        <w:t>0F</w:t>
      </w:r>
      <w:r w:rsidRPr="003D56F8">
        <w:rPr>
          <w:rStyle w:val="FootnoteReference"/>
          <w:rFonts w:cs="Arial"/>
        </w:rPr>
        <w:footnoteReference w:id="2"/>
      </w:r>
      <w:r w:rsidRPr="003D56F8">
        <w:rPr>
          <w:rFonts w:cs="Helvetica"/>
        </w:rPr>
        <w:t xml:space="preserve"> </w:t>
      </w:r>
      <w:r w:rsidRPr="003D56F8">
        <w:rPr>
          <w:rFonts w:cs="Arial"/>
        </w:rPr>
        <w:t>(Forum)</w:t>
      </w:r>
      <w:r w:rsidRPr="003D56F8">
        <w:t xml:space="preserve"> was notified of FSANZ’s decision on </w:t>
      </w:r>
    </w:p>
    <w:p w14:paraId="63D7AC44" w14:textId="77777777" w:rsidR="004D3026" w:rsidRPr="003D56F8" w:rsidRDefault="004D3026" w:rsidP="004D3026">
      <w:r w:rsidRPr="003D56F8">
        <w:t>1 October 2015.</w:t>
      </w:r>
    </w:p>
    <w:p w14:paraId="00CFEA5A" w14:textId="77777777" w:rsidR="00CA5734" w:rsidRDefault="00CA5734" w:rsidP="00CA5734"/>
    <w:p w14:paraId="435E26C8" w14:textId="24ABC202" w:rsidR="00081B0A" w:rsidRDefault="003A7B84" w:rsidP="00CA5734">
      <w:r>
        <w:t>This R</w:t>
      </w:r>
      <w:r w:rsidR="00B425AA">
        <w:t xml:space="preserve">eport is provided pursuant to </w:t>
      </w:r>
      <w:r w:rsidR="009A2699">
        <w:t>paragraph</w:t>
      </w:r>
      <w:r w:rsidR="00081B0A">
        <w:t xml:space="preserve"> </w:t>
      </w:r>
      <w:r w:rsidR="00F33470" w:rsidRPr="000D323B">
        <w:t>63(1)(b)</w:t>
      </w:r>
      <w:r w:rsidR="00081B0A" w:rsidRPr="000D323B">
        <w:t xml:space="preserve"> </w:t>
      </w:r>
      <w:r w:rsidR="00081B0A">
        <w:t xml:space="preserve">of the </w:t>
      </w:r>
      <w:r w:rsidR="00081B0A" w:rsidRPr="0012388D">
        <w:rPr>
          <w:i/>
        </w:rPr>
        <w:t>Food Standards Australia New Zealand Act 1991</w:t>
      </w:r>
      <w:r w:rsidR="00081B0A">
        <w:t xml:space="preserve"> (the FSANZ Act).</w:t>
      </w:r>
    </w:p>
    <w:p w14:paraId="0E02A751" w14:textId="77777777" w:rsidR="00F526BD" w:rsidRDefault="00F526BD" w:rsidP="00A671E6"/>
    <w:p w14:paraId="16D99982" w14:textId="77777777" w:rsidR="00EB6590" w:rsidRDefault="00EB6590" w:rsidP="00F526BD"/>
    <w:p w14:paraId="34E2C3DA" w14:textId="77777777" w:rsidR="00A671E6" w:rsidRDefault="00A671E6" w:rsidP="00CC5468">
      <w:pPr>
        <w:sectPr w:rsidR="00A671E6" w:rsidSect="00A437B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gNumType w:fmt="lowerRoman" w:start="1"/>
          <w:cols w:space="708"/>
          <w:docGrid w:linePitch="360"/>
        </w:sectPr>
      </w:pPr>
    </w:p>
    <w:p w14:paraId="7A8061CD"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2A34ECFC" w14:textId="77777777" w:rsidR="00CE59AA" w:rsidRPr="006E10A1" w:rsidRDefault="00CE59AA" w:rsidP="00CE59AA">
      <w:pPr>
        <w:rPr>
          <w:rFonts w:cs="Arial"/>
          <w:sz w:val="20"/>
          <w:szCs w:val="20"/>
        </w:rPr>
      </w:pPr>
    </w:p>
    <w:p w14:paraId="35852434" w14:textId="77777777" w:rsidR="00845D93" w:rsidRPr="004D3026" w:rsidRDefault="00B55714">
      <w:pPr>
        <w:pStyle w:val="TOC1"/>
        <w:tabs>
          <w:tab w:val="right" w:leader="dot" w:pos="9061"/>
        </w:tabs>
        <w:rPr>
          <w:rFonts w:ascii="Arial" w:eastAsiaTheme="minorEastAsia" w:hAnsi="Arial" w:cs="Arial"/>
          <w:b w:val="0"/>
          <w:bCs w:val="0"/>
          <w:caps w:val="0"/>
          <w:noProof/>
          <w:sz w:val="22"/>
          <w:szCs w:val="22"/>
          <w:lang w:val="en-NZ" w:eastAsia="en-NZ" w:bidi="ar-SA"/>
        </w:rPr>
      </w:pPr>
      <w:r w:rsidRPr="004D3026">
        <w:rPr>
          <w:rFonts w:ascii="Arial" w:hAnsi="Arial" w:cs="Arial"/>
          <w:smallCaps/>
        </w:rPr>
        <w:fldChar w:fldCharType="begin"/>
      </w:r>
      <w:r w:rsidRPr="004D3026">
        <w:rPr>
          <w:rFonts w:ascii="Arial" w:hAnsi="Arial" w:cs="Arial"/>
        </w:rPr>
        <w:instrText xml:space="preserve"> TOC \h \z \t "Heading 1,1,Heading 2,2,Heading 3,3" </w:instrText>
      </w:r>
      <w:r w:rsidRPr="004D3026">
        <w:rPr>
          <w:rFonts w:ascii="Arial" w:hAnsi="Arial" w:cs="Arial"/>
          <w:smallCaps/>
        </w:rPr>
        <w:fldChar w:fldCharType="separate"/>
      </w:r>
      <w:hyperlink w:anchor="_Toc428861594" w:history="1">
        <w:r w:rsidR="00845D93" w:rsidRPr="004D3026">
          <w:rPr>
            <w:rStyle w:val="Hyperlink"/>
            <w:rFonts w:ascii="Arial" w:hAnsi="Arial" w:cs="Arial"/>
            <w:noProof/>
          </w:rPr>
          <w:t>Executive summary</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_Toc428861594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w:t>
        </w:r>
        <w:r w:rsidR="00845D93" w:rsidRPr="004D3026">
          <w:rPr>
            <w:rFonts w:ascii="Arial" w:hAnsi="Arial" w:cs="Arial"/>
            <w:noProof/>
            <w:webHidden/>
          </w:rPr>
          <w:fldChar w:fldCharType="end"/>
        </w:r>
      </w:hyperlink>
    </w:p>
    <w:p w14:paraId="4FCAB702" w14:textId="77777777" w:rsidR="00845D93" w:rsidRPr="004D3026" w:rsidRDefault="00786770">
      <w:pPr>
        <w:pStyle w:val="TOC1"/>
        <w:tabs>
          <w:tab w:val="left" w:pos="440"/>
          <w:tab w:val="right" w:leader="dot" w:pos="9061"/>
        </w:tabs>
        <w:rPr>
          <w:rFonts w:ascii="Arial" w:eastAsiaTheme="minorEastAsia" w:hAnsi="Arial" w:cs="Arial"/>
          <w:b w:val="0"/>
          <w:bCs w:val="0"/>
          <w:caps w:val="0"/>
          <w:noProof/>
          <w:sz w:val="22"/>
          <w:szCs w:val="22"/>
          <w:lang w:val="en-NZ" w:eastAsia="en-NZ" w:bidi="ar-SA"/>
        </w:rPr>
      </w:pPr>
      <w:hyperlink w:anchor="_Toc428861595" w:history="1">
        <w:r w:rsidR="00845D93" w:rsidRPr="004D3026">
          <w:rPr>
            <w:rStyle w:val="Hyperlink"/>
            <w:rFonts w:ascii="Arial" w:hAnsi="Arial" w:cs="Arial"/>
            <w:noProof/>
          </w:rPr>
          <w:t>1</w:t>
        </w:r>
        <w:r w:rsidR="00845D93" w:rsidRPr="004D3026">
          <w:rPr>
            <w:rFonts w:ascii="Arial" w:eastAsiaTheme="minorEastAsia" w:hAnsi="Arial" w:cs="Arial"/>
            <w:b w:val="0"/>
            <w:bCs w:val="0"/>
            <w:caps w:val="0"/>
            <w:noProof/>
            <w:sz w:val="22"/>
            <w:szCs w:val="22"/>
            <w:lang w:val="en-NZ" w:eastAsia="en-NZ" w:bidi="ar-SA"/>
          </w:rPr>
          <w:tab/>
        </w:r>
        <w:r w:rsidR="00845D93" w:rsidRPr="004D3026">
          <w:rPr>
            <w:rStyle w:val="Hyperlink"/>
            <w:rFonts w:ascii="Arial" w:hAnsi="Arial" w:cs="Arial"/>
            <w:noProof/>
          </w:rPr>
          <w:t>Introduction</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_Toc428861595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5</w:t>
        </w:r>
        <w:r w:rsidR="00845D93" w:rsidRPr="004D3026">
          <w:rPr>
            <w:rFonts w:ascii="Arial" w:hAnsi="Arial" w:cs="Arial"/>
            <w:noProof/>
            <w:webHidden/>
          </w:rPr>
          <w:fldChar w:fldCharType="end"/>
        </w:r>
      </w:hyperlink>
    </w:p>
    <w:p w14:paraId="2EDBA0F8"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596" w:history="1">
        <w:r w:rsidR="00845D93" w:rsidRPr="004D3026">
          <w:rPr>
            <w:rStyle w:val="Hyperlink"/>
            <w:rFonts w:ascii="Arial" w:hAnsi="Arial" w:cs="Arial"/>
            <w:noProof/>
          </w:rPr>
          <w:t>1.1</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The Proposal</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_Toc428861596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5</w:t>
        </w:r>
        <w:r w:rsidR="00845D93" w:rsidRPr="004D3026">
          <w:rPr>
            <w:rFonts w:ascii="Arial" w:hAnsi="Arial" w:cs="Arial"/>
            <w:noProof/>
            <w:webHidden/>
          </w:rPr>
          <w:fldChar w:fldCharType="end"/>
        </w:r>
      </w:hyperlink>
    </w:p>
    <w:p w14:paraId="3ABB0A62"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597" w:history="1">
        <w:r w:rsidR="00845D93" w:rsidRPr="004D3026">
          <w:rPr>
            <w:rStyle w:val="Hyperlink"/>
            <w:rFonts w:ascii="Arial" w:hAnsi="Arial" w:cs="Arial"/>
            <w:noProof/>
          </w:rPr>
          <w:t>1.2</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The current Standard</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_Toc428861597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5</w:t>
        </w:r>
        <w:r w:rsidR="00845D93" w:rsidRPr="004D3026">
          <w:rPr>
            <w:rFonts w:ascii="Arial" w:hAnsi="Arial" w:cs="Arial"/>
            <w:noProof/>
            <w:webHidden/>
          </w:rPr>
          <w:fldChar w:fldCharType="end"/>
        </w:r>
      </w:hyperlink>
    </w:p>
    <w:p w14:paraId="348A2599"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598" w:history="1">
        <w:r w:rsidR="00845D93" w:rsidRPr="004D3026">
          <w:rPr>
            <w:rStyle w:val="Hyperlink"/>
            <w:rFonts w:ascii="Arial" w:hAnsi="Arial" w:cs="Arial"/>
            <w:noProof/>
          </w:rPr>
          <w:t>1.3</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Health Star Rating system</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_Toc428861598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5</w:t>
        </w:r>
        <w:r w:rsidR="00845D93" w:rsidRPr="004D3026">
          <w:rPr>
            <w:rFonts w:ascii="Arial" w:hAnsi="Arial" w:cs="Arial"/>
            <w:noProof/>
            <w:webHidden/>
          </w:rPr>
          <w:fldChar w:fldCharType="end"/>
        </w:r>
      </w:hyperlink>
    </w:p>
    <w:p w14:paraId="32D129D0"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599" w:history="1">
        <w:r w:rsidR="00845D93" w:rsidRPr="004D3026">
          <w:rPr>
            <w:rStyle w:val="Hyperlink"/>
            <w:rFonts w:ascii="Arial" w:hAnsi="Arial" w:cs="Arial"/>
            <w:noProof/>
          </w:rPr>
          <w:t>1.4</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Procedure for assessment</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_Toc428861599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6</w:t>
        </w:r>
        <w:r w:rsidR="00845D93" w:rsidRPr="004D3026">
          <w:rPr>
            <w:rFonts w:ascii="Arial" w:hAnsi="Arial" w:cs="Arial"/>
            <w:noProof/>
            <w:webHidden/>
          </w:rPr>
          <w:fldChar w:fldCharType="end"/>
        </w:r>
      </w:hyperlink>
    </w:p>
    <w:p w14:paraId="1D3DD221"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00" w:history="1">
        <w:r w:rsidR="00845D93" w:rsidRPr="004D3026">
          <w:rPr>
            <w:rStyle w:val="Hyperlink"/>
            <w:rFonts w:ascii="Arial" w:hAnsi="Arial" w:cs="Arial"/>
            <w:noProof/>
          </w:rPr>
          <w:t>1.5</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Decision</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_Toc428861600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6</w:t>
        </w:r>
        <w:r w:rsidR="00845D93" w:rsidRPr="004D3026">
          <w:rPr>
            <w:rFonts w:ascii="Arial" w:hAnsi="Arial" w:cs="Arial"/>
            <w:noProof/>
            <w:webHidden/>
          </w:rPr>
          <w:fldChar w:fldCharType="end"/>
        </w:r>
      </w:hyperlink>
    </w:p>
    <w:p w14:paraId="67B2ECFD" w14:textId="77777777" w:rsidR="00845D93" w:rsidRPr="004D3026" w:rsidRDefault="00786770">
      <w:pPr>
        <w:pStyle w:val="TOC1"/>
        <w:tabs>
          <w:tab w:val="left" w:pos="440"/>
          <w:tab w:val="right" w:leader="dot" w:pos="9061"/>
        </w:tabs>
        <w:rPr>
          <w:rFonts w:ascii="Arial" w:eastAsiaTheme="minorEastAsia" w:hAnsi="Arial" w:cs="Arial"/>
          <w:b w:val="0"/>
          <w:bCs w:val="0"/>
          <w:caps w:val="0"/>
          <w:noProof/>
          <w:sz w:val="22"/>
          <w:szCs w:val="22"/>
          <w:lang w:val="en-NZ" w:eastAsia="en-NZ" w:bidi="ar-SA"/>
        </w:rPr>
      </w:pPr>
      <w:hyperlink w:anchor="_Toc428861601" w:history="1">
        <w:r w:rsidR="00845D93" w:rsidRPr="004D3026">
          <w:rPr>
            <w:rStyle w:val="Hyperlink"/>
            <w:rFonts w:ascii="Arial" w:hAnsi="Arial" w:cs="Arial"/>
            <w:noProof/>
          </w:rPr>
          <w:t>2</w:t>
        </w:r>
        <w:r w:rsidR="00845D93" w:rsidRPr="004D3026">
          <w:rPr>
            <w:rFonts w:ascii="Arial" w:eastAsiaTheme="minorEastAsia" w:hAnsi="Arial" w:cs="Arial"/>
            <w:b w:val="0"/>
            <w:bCs w:val="0"/>
            <w:caps w:val="0"/>
            <w:noProof/>
            <w:sz w:val="22"/>
            <w:szCs w:val="22"/>
            <w:lang w:val="en-NZ" w:eastAsia="en-NZ" w:bidi="ar-SA"/>
          </w:rPr>
          <w:tab/>
        </w:r>
        <w:r w:rsidR="00845D93" w:rsidRPr="004D3026">
          <w:rPr>
            <w:rStyle w:val="Hyperlink"/>
            <w:rFonts w:ascii="Arial" w:hAnsi="Arial" w:cs="Arial"/>
            <w:noProof/>
          </w:rPr>
          <w:t xml:space="preserve">Summary </w:t>
        </w:r>
        <w:r w:rsidR="00845D93" w:rsidRPr="004D3026">
          <w:rPr>
            <w:rStyle w:val="Hyperlink"/>
            <w:rFonts w:ascii="Arial" w:hAnsi="Arial" w:cs="Arial"/>
            <w:noProof/>
            <w:u w:color="FFFF00"/>
          </w:rPr>
          <w:t>of</w:t>
        </w:r>
        <w:r w:rsidR="00845D93" w:rsidRPr="004D3026">
          <w:rPr>
            <w:rStyle w:val="Hyperlink"/>
            <w:rFonts w:ascii="Arial" w:hAnsi="Arial" w:cs="Arial"/>
            <w:noProof/>
          </w:rPr>
          <w:t xml:space="preserve"> the findings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_Toc428861601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7</w:t>
        </w:r>
        <w:r w:rsidR="00845D93" w:rsidRPr="004D3026">
          <w:rPr>
            <w:rFonts w:ascii="Arial" w:hAnsi="Arial" w:cs="Arial"/>
            <w:noProof/>
            <w:webHidden/>
          </w:rPr>
          <w:fldChar w:fldCharType="end"/>
        </w:r>
      </w:hyperlink>
    </w:p>
    <w:p w14:paraId="563A9E2B"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02" w:history="1">
        <w:r w:rsidR="00845D93" w:rsidRPr="004D3026">
          <w:rPr>
            <w:rStyle w:val="Hyperlink"/>
            <w:rFonts w:ascii="Arial" w:hAnsi="Arial" w:cs="Arial"/>
            <w:noProof/>
          </w:rPr>
          <w:t>2.1</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Risk assessment</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_Toc428861602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7</w:t>
        </w:r>
        <w:r w:rsidR="00845D93" w:rsidRPr="004D3026">
          <w:rPr>
            <w:rFonts w:ascii="Arial" w:hAnsi="Arial" w:cs="Arial"/>
            <w:noProof/>
            <w:webHidden/>
          </w:rPr>
          <w:fldChar w:fldCharType="end"/>
        </w:r>
      </w:hyperlink>
    </w:p>
    <w:p w14:paraId="21D2C5EB"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03" w:history="1">
        <w:r w:rsidR="00845D93" w:rsidRPr="004D3026">
          <w:rPr>
            <w:rStyle w:val="Hyperlink"/>
            <w:rFonts w:ascii="Arial" w:hAnsi="Arial" w:cs="Arial"/>
            <w:noProof/>
          </w:rPr>
          <w:t>2.2</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Summary of issues raised in submissions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_Toc428861603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7</w:t>
        </w:r>
        <w:r w:rsidR="00845D93" w:rsidRPr="004D3026">
          <w:rPr>
            <w:rFonts w:ascii="Arial" w:hAnsi="Arial" w:cs="Arial"/>
            <w:noProof/>
            <w:webHidden/>
          </w:rPr>
          <w:fldChar w:fldCharType="end"/>
        </w:r>
      </w:hyperlink>
    </w:p>
    <w:p w14:paraId="2DFF8A3C"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04" w:history="1">
        <w:r w:rsidR="00845D93" w:rsidRPr="004D3026">
          <w:rPr>
            <w:rStyle w:val="Hyperlink"/>
            <w:rFonts w:ascii="Arial" w:hAnsi="Arial" w:cs="Arial"/>
            <w:noProof/>
          </w:rPr>
          <w:t>2.3</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Risk management</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_Toc428861604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17</w:t>
        </w:r>
        <w:r w:rsidR="00845D93" w:rsidRPr="004D3026">
          <w:rPr>
            <w:rFonts w:ascii="Arial" w:hAnsi="Arial" w:cs="Arial"/>
            <w:noProof/>
            <w:webHidden/>
          </w:rPr>
          <w:fldChar w:fldCharType="end"/>
        </w:r>
      </w:hyperlink>
    </w:p>
    <w:p w14:paraId="3F66ECAC"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05" w:history="1">
        <w:r w:rsidR="00845D93" w:rsidRPr="004D3026">
          <w:rPr>
            <w:rStyle w:val="Hyperlink"/>
            <w:rFonts w:ascii="Arial" w:hAnsi="Arial" w:cs="Arial"/>
            <w:noProof/>
          </w:rPr>
          <w:t>2.3.1</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Nutrient declarations in nutrition information panel</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_Toc428861605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17</w:t>
        </w:r>
        <w:r w:rsidR="00845D93" w:rsidRPr="004D3026">
          <w:rPr>
            <w:rFonts w:ascii="Arial" w:hAnsi="Arial" w:cs="Arial"/>
            <w:noProof/>
            <w:webHidden/>
          </w:rPr>
          <w:fldChar w:fldCharType="end"/>
        </w:r>
      </w:hyperlink>
    </w:p>
    <w:p w14:paraId="6A926A42"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06" w:history="1">
        <w:r w:rsidR="00845D93" w:rsidRPr="004D3026">
          <w:rPr>
            <w:rStyle w:val="Hyperlink"/>
            <w:rFonts w:ascii="Arial" w:hAnsi="Arial" w:cs="Arial"/>
            <w:noProof/>
          </w:rPr>
          <w:t>2.3.2</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Quantity of nutrients used in the nutrient profiling scoring method</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_Toc428861606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18</w:t>
        </w:r>
        <w:r w:rsidR="00845D93" w:rsidRPr="004D3026">
          <w:rPr>
            <w:rFonts w:ascii="Arial" w:hAnsi="Arial" w:cs="Arial"/>
            <w:noProof/>
            <w:webHidden/>
          </w:rPr>
          <w:fldChar w:fldCharType="end"/>
        </w:r>
      </w:hyperlink>
    </w:p>
    <w:p w14:paraId="0E0355C6"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07" w:history="1">
        <w:r w:rsidR="00845D93" w:rsidRPr="004D3026">
          <w:rPr>
            <w:rStyle w:val="Hyperlink"/>
            <w:rFonts w:ascii="Arial" w:hAnsi="Arial" w:cs="Arial"/>
            <w:noProof/>
          </w:rPr>
          <w:t>2.3.3</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Percentage daily intake declarations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_Toc428861607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18</w:t>
        </w:r>
        <w:r w:rsidR="00845D93" w:rsidRPr="004D3026">
          <w:rPr>
            <w:rFonts w:ascii="Arial" w:hAnsi="Arial" w:cs="Arial"/>
            <w:noProof/>
            <w:webHidden/>
          </w:rPr>
          <w:fldChar w:fldCharType="end"/>
        </w:r>
      </w:hyperlink>
    </w:p>
    <w:p w14:paraId="30FE40B5"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08" w:history="1">
        <w:r w:rsidR="00845D93" w:rsidRPr="004D3026">
          <w:rPr>
            <w:rStyle w:val="Hyperlink"/>
            <w:rFonts w:ascii="Arial" w:hAnsi="Arial" w:cs="Arial"/>
            <w:noProof/>
          </w:rPr>
          <w:t>2.3.4</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Nutrition information requirements on small packages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_Toc428861608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20</w:t>
        </w:r>
        <w:r w:rsidR="00845D93" w:rsidRPr="004D3026">
          <w:rPr>
            <w:rFonts w:ascii="Arial" w:hAnsi="Arial" w:cs="Arial"/>
            <w:noProof/>
            <w:webHidden/>
          </w:rPr>
          <w:fldChar w:fldCharType="end"/>
        </w:r>
      </w:hyperlink>
    </w:p>
    <w:p w14:paraId="250526F0"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09" w:history="1">
        <w:r w:rsidR="00845D93" w:rsidRPr="004D3026">
          <w:rPr>
            <w:rStyle w:val="Hyperlink"/>
            <w:rFonts w:ascii="Arial" w:hAnsi="Arial" w:cs="Arial"/>
            <w:noProof/>
          </w:rPr>
          <w:t>2.3.5</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Application of clauses about food in small packages to food for infants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_Toc428861609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21</w:t>
        </w:r>
        <w:r w:rsidR="00845D93" w:rsidRPr="004D3026">
          <w:rPr>
            <w:rFonts w:ascii="Arial" w:hAnsi="Arial" w:cs="Arial"/>
            <w:noProof/>
            <w:webHidden/>
          </w:rPr>
          <w:fldChar w:fldCharType="end"/>
        </w:r>
      </w:hyperlink>
    </w:p>
    <w:p w14:paraId="51B38E18"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10" w:history="1">
        <w:r w:rsidR="00845D93" w:rsidRPr="004D3026">
          <w:rPr>
            <w:rStyle w:val="Hyperlink"/>
            <w:rFonts w:ascii="Arial" w:hAnsi="Arial" w:cs="Arial"/>
            <w:noProof/>
          </w:rPr>
          <w:t>2.3.6</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Proposed exemptions from claim requirements for trademarked HSR elements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_Toc428861610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21</w:t>
        </w:r>
        <w:r w:rsidR="00845D93" w:rsidRPr="004D3026">
          <w:rPr>
            <w:rFonts w:ascii="Arial" w:hAnsi="Arial" w:cs="Arial"/>
            <w:noProof/>
            <w:webHidden/>
          </w:rPr>
          <w:fldChar w:fldCharType="end"/>
        </w:r>
      </w:hyperlink>
    </w:p>
    <w:p w14:paraId="705EFE71"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11" w:history="1">
        <w:r w:rsidR="00845D93" w:rsidRPr="004D3026">
          <w:rPr>
            <w:rStyle w:val="Hyperlink"/>
            <w:rFonts w:ascii="Arial" w:hAnsi="Arial" w:cs="Arial"/>
            <w:noProof/>
          </w:rPr>
          <w:t>2.4</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Risk communication</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_Toc428861611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22</w:t>
        </w:r>
        <w:r w:rsidR="00845D93" w:rsidRPr="004D3026">
          <w:rPr>
            <w:rFonts w:ascii="Arial" w:hAnsi="Arial" w:cs="Arial"/>
            <w:noProof/>
            <w:webHidden/>
          </w:rPr>
          <w:fldChar w:fldCharType="end"/>
        </w:r>
      </w:hyperlink>
    </w:p>
    <w:p w14:paraId="07541915"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12" w:history="1">
        <w:r w:rsidR="00845D93" w:rsidRPr="004D3026">
          <w:rPr>
            <w:rStyle w:val="Hyperlink"/>
            <w:rFonts w:ascii="Arial" w:hAnsi="Arial" w:cs="Arial"/>
            <w:noProof/>
          </w:rPr>
          <w:t>2.5</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FSANZ Act assessment requirements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_Toc428861612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22</w:t>
        </w:r>
        <w:r w:rsidR="00845D93" w:rsidRPr="004D3026">
          <w:rPr>
            <w:rFonts w:ascii="Arial" w:hAnsi="Arial" w:cs="Arial"/>
            <w:noProof/>
            <w:webHidden/>
          </w:rPr>
          <w:fldChar w:fldCharType="end"/>
        </w:r>
      </w:hyperlink>
    </w:p>
    <w:p w14:paraId="405300FD"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13" w:history="1">
        <w:r w:rsidR="00845D93" w:rsidRPr="004D3026">
          <w:rPr>
            <w:rStyle w:val="Hyperlink"/>
            <w:rFonts w:ascii="Arial" w:hAnsi="Arial" w:cs="Arial"/>
            <w:noProof/>
          </w:rPr>
          <w:t>2.5.1</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Section 59</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_Toc428861613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22</w:t>
        </w:r>
        <w:r w:rsidR="00845D93" w:rsidRPr="004D3026">
          <w:rPr>
            <w:rFonts w:ascii="Arial" w:hAnsi="Arial" w:cs="Arial"/>
            <w:noProof/>
            <w:webHidden/>
          </w:rPr>
          <w:fldChar w:fldCharType="end"/>
        </w:r>
      </w:hyperlink>
    </w:p>
    <w:p w14:paraId="4B59B2E4"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14" w:history="1">
        <w:r w:rsidR="00845D93" w:rsidRPr="004D3026">
          <w:rPr>
            <w:rStyle w:val="Hyperlink"/>
            <w:rFonts w:ascii="Arial" w:hAnsi="Arial" w:cs="Arial"/>
            <w:noProof/>
          </w:rPr>
          <w:t>2.5.2</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Subsection 18(1)</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_Toc428861614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24</w:t>
        </w:r>
        <w:r w:rsidR="00845D93" w:rsidRPr="004D3026">
          <w:rPr>
            <w:rFonts w:ascii="Arial" w:hAnsi="Arial" w:cs="Arial"/>
            <w:noProof/>
            <w:webHidden/>
          </w:rPr>
          <w:fldChar w:fldCharType="end"/>
        </w:r>
      </w:hyperlink>
    </w:p>
    <w:p w14:paraId="4B30AB85" w14:textId="77777777" w:rsidR="00845D93" w:rsidRPr="004D3026" w:rsidRDefault="00786770">
      <w:pPr>
        <w:pStyle w:val="TOC3"/>
        <w:tabs>
          <w:tab w:val="left" w:pos="1100"/>
          <w:tab w:val="right" w:leader="dot" w:pos="9061"/>
        </w:tabs>
        <w:rPr>
          <w:rFonts w:ascii="Arial" w:eastAsiaTheme="minorEastAsia" w:hAnsi="Arial" w:cs="Arial"/>
          <w:i w:val="0"/>
          <w:iCs w:val="0"/>
          <w:noProof/>
          <w:sz w:val="22"/>
          <w:szCs w:val="22"/>
          <w:lang w:val="en-NZ" w:eastAsia="en-NZ" w:bidi="ar-SA"/>
        </w:rPr>
      </w:pPr>
      <w:hyperlink w:anchor="_Toc428861615" w:history="1">
        <w:r w:rsidR="00845D93" w:rsidRPr="004D3026">
          <w:rPr>
            <w:rStyle w:val="Hyperlink"/>
            <w:rFonts w:ascii="Arial" w:hAnsi="Arial" w:cs="Arial"/>
            <w:noProof/>
          </w:rPr>
          <w:t>2.5.3</w:t>
        </w:r>
        <w:r w:rsidR="00845D93" w:rsidRPr="004D3026">
          <w:rPr>
            <w:rFonts w:ascii="Arial" w:eastAsiaTheme="minorEastAsia" w:hAnsi="Arial" w:cs="Arial"/>
            <w:i w:val="0"/>
            <w:iCs w:val="0"/>
            <w:noProof/>
            <w:sz w:val="22"/>
            <w:szCs w:val="22"/>
            <w:lang w:val="en-NZ" w:eastAsia="en-NZ" w:bidi="ar-SA"/>
          </w:rPr>
          <w:tab/>
        </w:r>
        <w:r w:rsidR="00845D93" w:rsidRPr="004D3026">
          <w:rPr>
            <w:rStyle w:val="Hyperlink"/>
            <w:rFonts w:ascii="Arial" w:hAnsi="Arial" w:cs="Arial"/>
            <w:noProof/>
          </w:rPr>
          <w:t>Subsection 18(2) considerations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_Toc428861615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24</w:t>
        </w:r>
        <w:r w:rsidR="00845D93" w:rsidRPr="004D3026">
          <w:rPr>
            <w:rFonts w:ascii="Arial" w:hAnsi="Arial" w:cs="Arial"/>
            <w:noProof/>
            <w:webHidden/>
          </w:rPr>
          <w:fldChar w:fldCharType="end"/>
        </w:r>
      </w:hyperlink>
    </w:p>
    <w:p w14:paraId="2530ED3A" w14:textId="77777777" w:rsidR="00845D93" w:rsidRPr="004D3026" w:rsidRDefault="00786770">
      <w:pPr>
        <w:pStyle w:val="TOC1"/>
        <w:tabs>
          <w:tab w:val="left" w:pos="440"/>
          <w:tab w:val="right" w:leader="dot" w:pos="9061"/>
        </w:tabs>
        <w:rPr>
          <w:rFonts w:ascii="Arial" w:eastAsiaTheme="minorEastAsia" w:hAnsi="Arial" w:cs="Arial"/>
          <w:b w:val="0"/>
          <w:bCs w:val="0"/>
          <w:caps w:val="0"/>
          <w:noProof/>
          <w:sz w:val="22"/>
          <w:szCs w:val="22"/>
          <w:lang w:val="en-NZ" w:eastAsia="en-NZ" w:bidi="ar-SA"/>
        </w:rPr>
      </w:pPr>
      <w:hyperlink w:anchor="_Toc428861616" w:history="1">
        <w:r w:rsidR="00845D93" w:rsidRPr="004D3026">
          <w:rPr>
            <w:rStyle w:val="Hyperlink"/>
            <w:rFonts w:ascii="Arial" w:hAnsi="Arial" w:cs="Arial"/>
            <w:noProof/>
          </w:rPr>
          <w:t>3</w:t>
        </w:r>
        <w:r w:rsidR="00845D93" w:rsidRPr="004D3026">
          <w:rPr>
            <w:rFonts w:ascii="Arial" w:eastAsiaTheme="minorEastAsia" w:hAnsi="Arial" w:cs="Arial"/>
            <w:b w:val="0"/>
            <w:bCs w:val="0"/>
            <w:caps w:val="0"/>
            <w:noProof/>
            <w:sz w:val="22"/>
            <w:szCs w:val="22"/>
            <w:lang w:val="en-NZ" w:eastAsia="en-NZ" w:bidi="ar-SA"/>
          </w:rPr>
          <w:tab/>
        </w:r>
        <w:r w:rsidR="00845D93" w:rsidRPr="004D3026">
          <w:rPr>
            <w:rStyle w:val="Hyperlink"/>
            <w:rFonts w:ascii="Arial" w:hAnsi="Arial" w:cs="Arial"/>
            <w:noProof/>
          </w:rPr>
          <w:t>Transitional arrangements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_Toc428861616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25</w:t>
        </w:r>
        <w:r w:rsidR="00845D93" w:rsidRPr="004D3026">
          <w:rPr>
            <w:rFonts w:ascii="Arial" w:hAnsi="Arial" w:cs="Arial"/>
            <w:noProof/>
            <w:webHidden/>
          </w:rPr>
          <w:fldChar w:fldCharType="end"/>
        </w:r>
      </w:hyperlink>
    </w:p>
    <w:p w14:paraId="610990BA" w14:textId="77777777" w:rsidR="00845D93" w:rsidRPr="004D3026" w:rsidRDefault="00786770">
      <w:pPr>
        <w:pStyle w:val="TOC2"/>
        <w:tabs>
          <w:tab w:val="left" w:pos="880"/>
          <w:tab w:val="right" w:leader="dot" w:pos="9061"/>
        </w:tabs>
        <w:rPr>
          <w:rFonts w:ascii="Arial" w:eastAsiaTheme="minorEastAsia" w:hAnsi="Arial" w:cs="Arial"/>
          <w:smallCaps w:val="0"/>
          <w:noProof/>
          <w:sz w:val="22"/>
          <w:szCs w:val="22"/>
          <w:lang w:val="en-NZ" w:eastAsia="en-NZ" w:bidi="ar-SA"/>
        </w:rPr>
      </w:pPr>
      <w:hyperlink w:anchor="_Toc428861617" w:history="1">
        <w:r w:rsidR="00845D93" w:rsidRPr="004D3026">
          <w:rPr>
            <w:rStyle w:val="Hyperlink"/>
            <w:rFonts w:ascii="Arial" w:hAnsi="Arial" w:cs="Arial"/>
            <w:noProof/>
          </w:rPr>
          <w:t>3.1</w:t>
        </w:r>
        <w:r w:rsidR="00845D93" w:rsidRPr="004D3026">
          <w:rPr>
            <w:rFonts w:ascii="Arial" w:eastAsiaTheme="minorEastAsia" w:hAnsi="Arial" w:cs="Arial"/>
            <w:smallCaps w:val="0"/>
            <w:noProof/>
            <w:sz w:val="22"/>
            <w:szCs w:val="22"/>
            <w:lang w:val="en-NZ" w:eastAsia="en-NZ" w:bidi="ar-SA"/>
          </w:rPr>
          <w:tab/>
        </w:r>
        <w:r w:rsidR="00845D93" w:rsidRPr="004D3026">
          <w:rPr>
            <w:rStyle w:val="Hyperlink"/>
            <w:rFonts w:ascii="Arial" w:hAnsi="Arial" w:cs="Arial"/>
            <w:noProof/>
          </w:rPr>
          <w:t>Transitional arrangements for Code Revision</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_Toc428861617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25</w:t>
        </w:r>
        <w:r w:rsidR="00845D93" w:rsidRPr="004D3026">
          <w:rPr>
            <w:rFonts w:ascii="Arial" w:hAnsi="Arial" w:cs="Arial"/>
            <w:noProof/>
            <w:webHidden/>
          </w:rPr>
          <w:fldChar w:fldCharType="end"/>
        </w:r>
      </w:hyperlink>
    </w:p>
    <w:p w14:paraId="4702146C"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18" w:history="1">
        <w:r w:rsidR="00845D93" w:rsidRPr="004D3026">
          <w:rPr>
            <w:rStyle w:val="Hyperlink"/>
            <w:rFonts w:ascii="Arial" w:hAnsi="Arial" w:cs="Arial"/>
            <w:noProof/>
          </w:rPr>
          <w:t xml:space="preserve">Attachment A – Approved draft variation to the </w:t>
        </w:r>
        <w:r w:rsidR="00845D93" w:rsidRPr="004D3026">
          <w:rPr>
            <w:rStyle w:val="Hyperlink"/>
            <w:rFonts w:ascii="Arial" w:hAnsi="Arial" w:cs="Arial"/>
            <w:i/>
            <w:noProof/>
          </w:rPr>
          <w:t>Australia New Zealand Food Standards Code</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_Toc428861618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27</w:t>
        </w:r>
        <w:r w:rsidR="00845D93" w:rsidRPr="004D3026">
          <w:rPr>
            <w:rFonts w:ascii="Arial" w:hAnsi="Arial" w:cs="Arial"/>
            <w:noProof/>
            <w:webHidden/>
          </w:rPr>
          <w:fldChar w:fldCharType="end"/>
        </w:r>
      </w:hyperlink>
    </w:p>
    <w:p w14:paraId="35D65FCE"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19" w:history="1">
        <w:r w:rsidR="00845D93" w:rsidRPr="004D3026">
          <w:rPr>
            <w:rStyle w:val="Hyperlink"/>
            <w:rFonts w:ascii="Arial" w:hAnsi="Arial" w:cs="Arial"/>
            <w:noProof/>
          </w:rPr>
          <w:t>Explanatory Statement</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_Toc428861619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34</w:t>
        </w:r>
        <w:r w:rsidR="00845D93" w:rsidRPr="004D3026">
          <w:rPr>
            <w:rFonts w:ascii="Arial" w:hAnsi="Arial" w:cs="Arial"/>
            <w:noProof/>
            <w:webHidden/>
          </w:rPr>
          <w:fldChar w:fldCharType="end"/>
        </w:r>
      </w:hyperlink>
    </w:p>
    <w:p w14:paraId="7C26433D"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20" w:history="1">
        <w:r w:rsidR="00845D93" w:rsidRPr="004D3026">
          <w:rPr>
            <w:rStyle w:val="Hyperlink"/>
            <w:rFonts w:ascii="Arial" w:hAnsi="Arial" w:cs="Arial"/>
            <w:noProof/>
          </w:rPr>
          <w:t xml:space="preserve">Attachment B – Approved draft variation to the revised </w:t>
        </w:r>
        <w:r w:rsidR="00845D93" w:rsidRPr="004D3026">
          <w:rPr>
            <w:rStyle w:val="Hyperlink"/>
            <w:rFonts w:ascii="Arial" w:hAnsi="Arial" w:cs="Arial"/>
            <w:i/>
            <w:noProof/>
          </w:rPr>
          <w:t xml:space="preserve">Australia New Zealand Food Standards Code </w:t>
        </w:r>
        <w:r w:rsidR="00845D93" w:rsidRPr="004D3026">
          <w:rPr>
            <w:rStyle w:val="Hyperlink"/>
            <w:rFonts w:ascii="Arial" w:hAnsi="Arial" w:cs="Arial"/>
            <w:noProof/>
          </w:rPr>
          <w:t>(commencing 1 March 2016)</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_Toc428861620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38</w:t>
        </w:r>
        <w:r w:rsidR="00845D93" w:rsidRPr="004D3026">
          <w:rPr>
            <w:rFonts w:ascii="Arial" w:hAnsi="Arial" w:cs="Arial"/>
            <w:noProof/>
            <w:webHidden/>
          </w:rPr>
          <w:fldChar w:fldCharType="end"/>
        </w:r>
      </w:hyperlink>
    </w:p>
    <w:p w14:paraId="62EE8075"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21" w:history="1">
        <w:r w:rsidR="00845D93" w:rsidRPr="004D3026">
          <w:rPr>
            <w:rStyle w:val="Hyperlink"/>
            <w:rFonts w:ascii="Arial" w:hAnsi="Arial" w:cs="Arial"/>
            <w:noProof/>
          </w:rPr>
          <w:t>Explanatory Statement</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_Toc428861621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44</w:t>
        </w:r>
        <w:r w:rsidR="00845D93" w:rsidRPr="004D3026">
          <w:rPr>
            <w:rFonts w:ascii="Arial" w:hAnsi="Arial" w:cs="Arial"/>
            <w:noProof/>
            <w:webHidden/>
          </w:rPr>
          <w:fldChar w:fldCharType="end"/>
        </w:r>
      </w:hyperlink>
    </w:p>
    <w:p w14:paraId="72C2E7BC"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22" w:history="1">
        <w:r w:rsidR="00845D93" w:rsidRPr="004D3026">
          <w:rPr>
            <w:rStyle w:val="Hyperlink"/>
            <w:rFonts w:ascii="Arial" w:hAnsi="Arial" w:cs="Arial"/>
            <w:noProof/>
          </w:rPr>
          <w:t xml:space="preserve">Attachment C – Draft variation to the </w:t>
        </w:r>
        <w:r w:rsidR="00845D93" w:rsidRPr="004D3026">
          <w:rPr>
            <w:rStyle w:val="Hyperlink"/>
            <w:rFonts w:ascii="Arial" w:hAnsi="Arial" w:cs="Arial"/>
            <w:i/>
            <w:noProof/>
          </w:rPr>
          <w:t xml:space="preserve">Australia New Zealand Food Standards Code </w:t>
        </w:r>
        <w:r w:rsidR="00845D93" w:rsidRPr="004D3026">
          <w:rPr>
            <w:rStyle w:val="Hyperlink"/>
            <w:rFonts w:ascii="Arial" w:hAnsi="Arial" w:cs="Arial"/>
            <w:noProof/>
          </w:rPr>
          <w:t>(call for submissions)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_Toc428861622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48</w:t>
        </w:r>
        <w:r w:rsidR="00845D93" w:rsidRPr="004D3026">
          <w:rPr>
            <w:rFonts w:ascii="Arial" w:hAnsi="Arial" w:cs="Arial"/>
            <w:noProof/>
            <w:webHidden/>
          </w:rPr>
          <w:fldChar w:fldCharType="end"/>
        </w:r>
      </w:hyperlink>
    </w:p>
    <w:p w14:paraId="3A411254" w14:textId="77777777" w:rsidR="00845D93" w:rsidRPr="004D3026" w:rsidRDefault="00786770">
      <w:pPr>
        <w:pStyle w:val="TOC2"/>
        <w:tabs>
          <w:tab w:val="right" w:leader="dot" w:pos="9061"/>
        </w:tabs>
        <w:rPr>
          <w:rFonts w:ascii="Arial" w:eastAsiaTheme="minorEastAsia" w:hAnsi="Arial" w:cs="Arial"/>
          <w:smallCaps w:val="0"/>
          <w:noProof/>
          <w:sz w:val="22"/>
          <w:szCs w:val="22"/>
          <w:lang w:val="en-NZ" w:eastAsia="en-NZ" w:bidi="ar-SA"/>
        </w:rPr>
      </w:pPr>
      <w:hyperlink w:anchor="_Toc428861623" w:history="1">
        <w:r w:rsidR="00845D93" w:rsidRPr="004D3026">
          <w:rPr>
            <w:rStyle w:val="Hyperlink"/>
            <w:rFonts w:ascii="Arial" w:hAnsi="Arial" w:cs="Arial"/>
            <w:noProof/>
          </w:rPr>
          <w:t xml:space="preserve">Attachment D – Draft variation to the revised </w:t>
        </w:r>
        <w:r w:rsidR="00845D93" w:rsidRPr="004D3026">
          <w:rPr>
            <w:rStyle w:val="Hyperlink"/>
            <w:rFonts w:ascii="Arial" w:hAnsi="Arial" w:cs="Arial"/>
            <w:i/>
            <w:noProof/>
          </w:rPr>
          <w:t xml:space="preserve">Australia New Zealand Food Standards Code </w:t>
        </w:r>
        <w:r w:rsidR="00845D93" w:rsidRPr="004D3026">
          <w:rPr>
            <w:rStyle w:val="Hyperlink"/>
            <w:rFonts w:ascii="Arial" w:hAnsi="Arial" w:cs="Arial"/>
            <w:noProof/>
          </w:rPr>
          <w:t>(commencing 1 March 2016) (call for submissions)</w:t>
        </w:r>
        <w:r w:rsidR="00845D93" w:rsidRPr="004D3026">
          <w:rPr>
            <w:rFonts w:ascii="Arial" w:hAnsi="Arial" w:cs="Arial"/>
            <w:noProof/>
            <w:webHidden/>
          </w:rPr>
          <w:tab/>
        </w:r>
        <w:r w:rsidR="00845D93" w:rsidRPr="004D3026">
          <w:rPr>
            <w:rFonts w:ascii="Arial" w:hAnsi="Arial" w:cs="Arial"/>
            <w:noProof/>
            <w:webHidden/>
          </w:rPr>
          <w:fldChar w:fldCharType="begin"/>
        </w:r>
        <w:r w:rsidR="00845D93" w:rsidRPr="004D3026">
          <w:rPr>
            <w:rFonts w:ascii="Arial" w:hAnsi="Arial" w:cs="Arial"/>
            <w:noProof/>
            <w:webHidden/>
          </w:rPr>
          <w:instrText xml:space="preserve"> PAGEREF _Toc428861623 \h </w:instrText>
        </w:r>
        <w:r w:rsidR="00845D93" w:rsidRPr="004D3026">
          <w:rPr>
            <w:rFonts w:ascii="Arial" w:hAnsi="Arial" w:cs="Arial"/>
            <w:noProof/>
            <w:webHidden/>
          </w:rPr>
        </w:r>
        <w:r w:rsidR="00845D93" w:rsidRPr="004D3026">
          <w:rPr>
            <w:rFonts w:ascii="Arial" w:hAnsi="Arial" w:cs="Arial"/>
            <w:noProof/>
            <w:webHidden/>
          </w:rPr>
          <w:fldChar w:fldCharType="separate"/>
        </w:r>
        <w:r w:rsidR="005B06CC">
          <w:rPr>
            <w:rFonts w:ascii="Arial" w:hAnsi="Arial" w:cs="Arial"/>
            <w:noProof/>
            <w:webHidden/>
          </w:rPr>
          <w:t>56</w:t>
        </w:r>
        <w:r w:rsidR="00845D93" w:rsidRPr="004D3026">
          <w:rPr>
            <w:rFonts w:ascii="Arial" w:hAnsi="Arial" w:cs="Arial"/>
            <w:noProof/>
            <w:webHidden/>
          </w:rPr>
          <w:fldChar w:fldCharType="end"/>
        </w:r>
      </w:hyperlink>
    </w:p>
    <w:p w14:paraId="2DC78B5E" w14:textId="77777777" w:rsidR="0012388D" w:rsidRDefault="00B55714" w:rsidP="00C91C02">
      <w:r w:rsidRPr="004D3026">
        <w:rPr>
          <w:rFonts w:cs="Arial"/>
          <w:sz w:val="20"/>
          <w:szCs w:val="20"/>
        </w:rPr>
        <w:fldChar w:fldCharType="end"/>
      </w:r>
    </w:p>
    <w:p w14:paraId="5B3A5D61" w14:textId="77777777" w:rsidR="007F7BF7" w:rsidRDefault="007F7BF7" w:rsidP="00CA5734"/>
    <w:p w14:paraId="691D2FF9"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1FC64637" w14:textId="77777777" w:rsidR="00A671E6" w:rsidRPr="0089264A" w:rsidRDefault="00A671E6" w:rsidP="00A671E6">
      <w:pPr>
        <w:rPr>
          <w:szCs w:val="22"/>
        </w:rPr>
      </w:pPr>
    </w:p>
    <w:p w14:paraId="14806EE5" w14:textId="56A59975" w:rsidR="007A53BF" w:rsidRPr="00606FA0" w:rsidRDefault="007A53BF" w:rsidP="007A53BF">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w:t>
      </w:r>
      <w:r w:rsidRPr="000D323B">
        <w:rPr>
          <w:szCs w:val="22"/>
        </w:rPr>
        <w:t>this</w:t>
      </w:r>
      <w:r w:rsidR="000D323B" w:rsidRPr="000D323B">
        <w:rPr>
          <w:szCs w:val="22"/>
        </w:rPr>
        <w:t xml:space="preserve"> </w:t>
      </w:r>
      <w:r w:rsidRPr="000D323B">
        <w:rPr>
          <w:szCs w:val="22"/>
        </w:rPr>
        <w:t xml:space="preserve">Proposal are </w:t>
      </w:r>
      <w:r w:rsidRPr="0089264A">
        <w:rPr>
          <w:szCs w:val="22"/>
        </w:rPr>
        <w:t xml:space="preserve">available on the FSANZ website </w:t>
      </w:r>
      <w:r w:rsidRPr="00606FA0">
        <w:rPr>
          <w:szCs w:val="22"/>
        </w:rPr>
        <w:t xml:space="preserve">at </w:t>
      </w:r>
      <w:r w:rsidR="0008531D" w:rsidRPr="0008531D">
        <w:rPr>
          <w:rStyle w:val="Hyperlink"/>
          <w:szCs w:val="22"/>
        </w:rPr>
        <w:t>http://www.foodstandards.gov.au/code/proposals/Pages/P1037NutritionAndHealthClaimsAmend.aspx</w:t>
      </w:r>
      <w:r w:rsidR="0008531D">
        <w:rPr>
          <w:rStyle w:val="Hyperlink"/>
          <w:szCs w:val="22"/>
        </w:rPr>
        <w:t>:</w:t>
      </w:r>
    </w:p>
    <w:p w14:paraId="1E2B0289" w14:textId="77777777" w:rsidR="007A53BF" w:rsidRPr="0089264A" w:rsidRDefault="007A53BF" w:rsidP="007A53BF">
      <w:pPr>
        <w:rPr>
          <w:szCs w:val="22"/>
        </w:rPr>
      </w:pPr>
    </w:p>
    <w:p w14:paraId="0DFFC07E" w14:textId="26E4848D" w:rsidR="009B14CB" w:rsidRPr="009B14CB" w:rsidRDefault="007A53BF" w:rsidP="009B14CB">
      <w:pPr>
        <w:ind w:left="1134" w:hanging="1134"/>
      </w:pPr>
      <w:r w:rsidRPr="009B14CB">
        <w:t>SD1</w:t>
      </w:r>
      <w:r w:rsidRPr="009B14CB">
        <w:tab/>
      </w:r>
      <w:r w:rsidR="009B14CB" w:rsidRPr="009B14CB">
        <w:t>Trademarked elements of the Health Star Rating (HSR) system</w:t>
      </w:r>
      <w:r w:rsidR="00244AF8">
        <w:t xml:space="preserve"> (at Approval)</w:t>
      </w:r>
    </w:p>
    <w:p w14:paraId="48A51ED7" w14:textId="77777777" w:rsidR="009B14CB" w:rsidRPr="00606FA0" w:rsidRDefault="009B14CB" w:rsidP="009B14CB">
      <w:pPr>
        <w:ind w:left="1134" w:hanging="1134"/>
      </w:pPr>
      <w:r w:rsidRPr="009B14CB">
        <w:t>SD2</w:t>
      </w:r>
      <w:r w:rsidRPr="009B14CB">
        <w:tab/>
        <w:t xml:space="preserve">Relevant Code requirements currently applying to the trademarked elements of </w:t>
      </w:r>
      <w:r w:rsidRPr="00606FA0">
        <w:t xml:space="preserve">the Health Star Rating (HSR) system </w:t>
      </w:r>
    </w:p>
    <w:p w14:paraId="730D1636" w14:textId="547C33D5" w:rsidR="007A53BF" w:rsidRPr="00606FA0" w:rsidRDefault="007A53BF" w:rsidP="007A53BF">
      <w:pPr>
        <w:ind w:left="1134" w:hanging="1134"/>
      </w:pPr>
    </w:p>
    <w:p w14:paraId="581A0AA7" w14:textId="77777777" w:rsidR="003C4969" w:rsidRPr="00606FA0" w:rsidRDefault="00D15A08" w:rsidP="009A2699">
      <w:pPr>
        <w:spacing w:line="280" w:lineRule="exact"/>
        <w:ind w:left="851" w:hanging="851"/>
        <w:outlineLvl w:val="3"/>
        <w:rPr>
          <w:vanish/>
        </w:rPr>
      </w:pPr>
      <w:r w:rsidRPr="00606FA0">
        <w:br w:type="page"/>
      </w:r>
    </w:p>
    <w:p w14:paraId="7A179E3A" w14:textId="77777777" w:rsidR="007A53BF" w:rsidRPr="00C134EB" w:rsidRDefault="007A53BF" w:rsidP="001142C7">
      <w:pPr>
        <w:pStyle w:val="Heading1"/>
      </w:pPr>
      <w:bookmarkStart w:id="2" w:name="_Toc286391001"/>
      <w:bookmarkStart w:id="3" w:name="_Toc300933414"/>
      <w:bookmarkStart w:id="4" w:name="_Toc370223463"/>
      <w:bookmarkStart w:id="5" w:name="_Toc428861594"/>
      <w:bookmarkStart w:id="6" w:name="_Toc11735627"/>
      <w:bookmarkStart w:id="7" w:name="_Toc29883110"/>
      <w:bookmarkStart w:id="8" w:name="_Toc41906797"/>
      <w:bookmarkStart w:id="9" w:name="_Toc41907544"/>
      <w:bookmarkStart w:id="10" w:name="_Toc120358575"/>
      <w:r w:rsidRPr="007A53BF">
        <w:t>Executive summary</w:t>
      </w:r>
      <w:bookmarkEnd w:id="2"/>
      <w:bookmarkEnd w:id="3"/>
      <w:bookmarkEnd w:id="4"/>
      <w:bookmarkEnd w:id="5"/>
    </w:p>
    <w:p w14:paraId="20B66EA0" w14:textId="5A1C853E" w:rsidR="00E9289F" w:rsidRDefault="00E9289F" w:rsidP="00E9289F">
      <w:r w:rsidRPr="007A13A5">
        <w:t xml:space="preserve">Standard 1.2.7 – Nutrition, Health and Related Claims, which regulates nutrition content </w:t>
      </w:r>
      <w:r>
        <w:t xml:space="preserve">claims </w:t>
      </w:r>
      <w:r w:rsidRPr="007A13A5">
        <w:t xml:space="preserve">and health claims, was included in the </w:t>
      </w:r>
      <w:r w:rsidRPr="00621376">
        <w:rPr>
          <w:i/>
        </w:rPr>
        <w:t>Australia New Zealand Food Standards Code</w:t>
      </w:r>
      <w:r w:rsidRPr="007A13A5">
        <w:t xml:space="preserve"> </w:t>
      </w:r>
      <w:r>
        <w:t xml:space="preserve">(Code) </w:t>
      </w:r>
      <w:r w:rsidRPr="007A13A5">
        <w:t>in January 2013</w:t>
      </w:r>
      <w:r>
        <w:t>. At the same time, some amendments were made to the requirements in Standard 1.2.8 – Nutrition Information Requirements</w:t>
      </w:r>
      <w:r w:rsidR="00B957F5">
        <w:t>,</w:t>
      </w:r>
      <w:r>
        <w:t xml:space="preserve"> for nutrition information when nutrition content claims or health claims </w:t>
      </w:r>
      <w:r w:rsidR="009279C4">
        <w:t>are</w:t>
      </w:r>
      <w:r>
        <w:t xml:space="preserve"> made. These amendments were developed under </w:t>
      </w:r>
      <w:r w:rsidRPr="008C2E3C">
        <w:t>Proposal P293 – Nutrition, Health &amp; Related Claims</w:t>
      </w:r>
      <w:r>
        <w:t xml:space="preserve">. </w:t>
      </w:r>
    </w:p>
    <w:p w14:paraId="11BEAF71" w14:textId="77777777" w:rsidR="00E9289F" w:rsidRDefault="00E9289F" w:rsidP="00E9289F"/>
    <w:p w14:paraId="5B5D482F" w14:textId="1F70F9C1" w:rsidR="00E9289F" w:rsidRDefault="00E9289F" w:rsidP="00E9289F">
      <w:r>
        <w:t>S</w:t>
      </w:r>
      <w:r w:rsidRPr="009819C3">
        <w:t xml:space="preserve">ome inconsistencies </w:t>
      </w:r>
      <w:r>
        <w:t xml:space="preserve">with </w:t>
      </w:r>
      <w:r w:rsidR="00007372">
        <w:t>current</w:t>
      </w:r>
      <w:r>
        <w:t xml:space="preserve"> requirements in the Code and with the intent of Proposal P293, as well as </w:t>
      </w:r>
      <w:r w:rsidRPr="009819C3">
        <w:t xml:space="preserve">lack of clarity </w:t>
      </w:r>
      <w:r w:rsidR="0008531D">
        <w:t xml:space="preserve">in </w:t>
      </w:r>
      <w:r w:rsidRPr="009819C3">
        <w:t>Standard 1.2.7 and associated amendments</w:t>
      </w:r>
      <w:r>
        <w:t xml:space="preserve"> to the Code, have subsequently been identified. FSANZ prepared this Proposal to address these inconsistencies and lack of clarity. </w:t>
      </w:r>
    </w:p>
    <w:p w14:paraId="24A70D84" w14:textId="77777777" w:rsidR="00E9289F" w:rsidRDefault="00E9289F" w:rsidP="00E9289F"/>
    <w:p w14:paraId="37BE3DA5" w14:textId="5A4A422C" w:rsidR="00E9289F" w:rsidRDefault="00E9289F" w:rsidP="00252779">
      <w:r w:rsidRPr="002A7970">
        <w:t>A voluntary front-of-pack</w:t>
      </w:r>
      <w:r>
        <w:t xml:space="preserve"> food</w:t>
      </w:r>
      <w:r w:rsidRPr="002A7970">
        <w:t xml:space="preserve"> labelling s</w:t>
      </w:r>
      <w:r w:rsidR="00AA6A93">
        <w:t>cheme</w:t>
      </w:r>
      <w:r w:rsidRPr="002A7970">
        <w:t xml:space="preserve">, known as the Health Star Rating (HSR) system, was launched </w:t>
      </w:r>
      <w:r>
        <w:t>in June 2014</w:t>
      </w:r>
      <w:r w:rsidRPr="002A7970">
        <w:t xml:space="preserve"> by the Australia</w:t>
      </w:r>
      <w:r>
        <w:t xml:space="preserve"> and New Zealand Ministerial Forum on Food Regulation. </w:t>
      </w:r>
      <w:r w:rsidRPr="002A7970">
        <w:t>The HSR system comprises a</w:t>
      </w:r>
      <w:r>
        <w:t xml:space="preserve"> star rating </w:t>
      </w:r>
      <w:r w:rsidRPr="002A7970">
        <w:t xml:space="preserve">either with or without nutrient icons. </w:t>
      </w:r>
      <w:r w:rsidR="000C527E">
        <w:t>Displaying</w:t>
      </w:r>
      <w:r>
        <w:t xml:space="preserve"> t</w:t>
      </w:r>
      <w:r w:rsidRPr="002A7970">
        <w:t xml:space="preserve">he </w:t>
      </w:r>
      <w:r w:rsidR="00AA6A93">
        <w:t>HSR</w:t>
      </w:r>
      <w:r w:rsidRPr="002A7970">
        <w:t xml:space="preserve"> nutrient icons </w:t>
      </w:r>
      <w:r>
        <w:t>on food labels trigger</w:t>
      </w:r>
      <w:r w:rsidR="000C527E">
        <w:t>s</w:t>
      </w:r>
      <w:r>
        <w:t xml:space="preserve"> mandatory claim requirements in the Code (including associated nutrition information labelling). This P</w:t>
      </w:r>
      <w:r w:rsidRPr="0093582B">
        <w:t xml:space="preserve">roposal </w:t>
      </w:r>
      <w:r w:rsidR="009279C4">
        <w:t>provides</w:t>
      </w:r>
      <w:r w:rsidR="00F15C80">
        <w:t xml:space="preserve"> </w:t>
      </w:r>
      <w:r>
        <w:t xml:space="preserve">an exemption </w:t>
      </w:r>
      <w:r w:rsidR="005A74F7">
        <w:t>to</w:t>
      </w:r>
      <w:r>
        <w:t xml:space="preserve"> the trademarked </w:t>
      </w:r>
      <w:r w:rsidRPr="0093582B">
        <w:t>H</w:t>
      </w:r>
      <w:r>
        <w:t xml:space="preserve">SR </w:t>
      </w:r>
      <w:r w:rsidRPr="0093582B">
        <w:t xml:space="preserve">label elements </w:t>
      </w:r>
      <w:r>
        <w:t>from t</w:t>
      </w:r>
      <w:r w:rsidRPr="0093582B">
        <w:t xml:space="preserve">he requirements for claims in the Code. </w:t>
      </w:r>
    </w:p>
    <w:p w14:paraId="184FC1BA" w14:textId="77777777" w:rsidR="00E9289F" w:rsidRDefault="00E9289F" w:rsidP="00E9289F"/>
    <w:p w14:paraId="4E13E1EC" w14:textId="0DAE8918" w:rsidR="00E9289F" w:rsidRDefault="00B957F5" w:rsidP="004D3026">
      <w:pPr>
        <w:ind w:right="-285"/>
      </w:pPr>
      <w:r>
        <w:t xml:space="preserve">In May 2015, </w:t>
      </w:r>
      <w:r w:rsidR="00E9289F">
        <w:t>FSANZ released a call for submissions on proposed draft variations to the Code in relation to the ma</w:t>
      </w:r>
      <w:r>
        <w:t>tters outlined in Table 1 below.</w:t>
      </w:r>
      <w:r w:rsidR="00E9289F">
        <w:t xml:space="preserve"> FSANZ has finalised its consideration of this Proposal, having considered submitter comments and all other relevant matters</w:t>
      </w:r>
      <w:r w:rsidR="006B4EED">
        <w:t xml:space="preserve">. </w:t>
      </w:r>
      <w:r w:rsidR="00E9289F">
        <w:t xml:space="preserve"> </w:t>
      </w:r>
    </w:p>
    <w:p w14:paraId="6BCEF206" w14:textId="77777777" w:rsidR="00E9289F" w:rsidRDefault="00E9289F" w:rsidP="00E9289F"/>
    <w:p w14:paraId="6DBCD8E3" w14:textId="253A91C3" w:rsidR="00E9289F" w:rsidRDefault="00E9289F" w:rsidP="00E9289F">
      <w:r>
        <w:t>The issues being addressed by this Proposal</w:t>
      </w:r>
      <w:r w:rsidR="00FD0DDD">
        <w:t>,</w:t>
      </w:r>
      <w:r>
        <w:t xml:space="preserve"> </w:t>
      </w:r>
      <w:r w:rsidR="00A25FD7">
        <w:t xml:space="preserve">approved </w:t>
      </w:r>
      <w:r>
        <w:t>amendments</w:t>
      </w:r>
      <w:r w:rsidR="00FD0DDD">
        <w:t xml:space="preserve"> to the Code</w:t>
      </w:r>
      <w:r>
        <w:t xml:space="preserve"> </w:t>
      </w:r>
      <w:r w:rsidR="00FD0DDD">
        <w:t xml:space="preserve">and additional amendments </w:t>
      </w:r>
      <w:r w:rsidR="000C527E">
        <w:t xml:space="preserve">after </w:t>
      </w:r>
      <w:r w:rsidR="00FD0DDD">
        <w:t>consideration of submitter comments</w:t>
      </w:r>
      <w:r w:rsidR="0078496E">
        <w:t>,</w:t>
      </w:r>
      <w:r w:rsidR="00FD0DDD">
        <w:t xml:space="preserve"> are</w:t>
      </w:r>
      <w:r w:rsidR="00FD0DDD" w:rsidRPr="00FD0DDD">
        <w:t xml:space="preserve"> </w:t>
      </w:r>
      <w:r w:rsidR="00FD0DDD">
        <w:t>summarised in Table</w:t>
      </w:r>
      <w:r w:rsidR="00697878">
        <w:t> </w:t>
      </w:r>
      <w:r w:rsidR="00FD0DDD">
        <w:t xml:space="preserve">1. </w:t>
      </w:r>
      <w:r w:rsidR="006F06BB">
        <w:t>A transition period followed by a 12 month stock</w:t>
      </w:r>
      <w:r w:rsidR="00F150B5">
        <w:t>-</w:t>
      </w:r>
      <w:r w:rsidR="006F06BB">
        <w:t>in</w:t>
      </w:r>
      <w:r w:rsidR="00F150B5">
        <w:t>-</w:t>
      </w:r>
      <w:r w:rsidR="006F06BB">
        <w:t xml:space="preserve">trade </w:t>
      </w:r>
      <w:r w:rsidR="006F06BB" w:rsidRPr="004456A2">
        <w:t>exemption</w:t>
      </w:r>
      <w:r w:rsidR="006F06BB">
        <w:t xml:space="preserve"> has been provided for the amendments (excluding those relating to</w:t>
      </w:r>
      <w:r w:rsidR="006F06BB" w:rsidRPr="006F06BB">
        <w:t xml:space="preserve"> exemption of the trademarked HSR label elements</w:t>
      </w:r>
      <w:r w:rsidR="006F06BB">
        <w:t>), due t</w:t>
      </w:r>
      <w:r w:rsidR="006F06BB" w:rsidRPr="006F06BB">
        <w:t xml:space="preserve">o </w:t>
      </w:r>
      <w:r w:rsidR="00AF368A" w:rsidRPr="006F06BB">
        <w:t>submitter concerns that labels may need to change</w:t>
      </w:r>
      <w:r w:rsidR="0031600F">
        <w:t>.</w:t>
      </w:r>
      <w:r w:rsidR="00AF368A" w:rsidRPr="006F06BB">
        <w:t xml:space="preserve"> </w:t>
      </w:r>
    </w:p>
    <w:p w14:paraId="00D96C56" w14:textId="77777777" w:rsidR="00E9289F" w:rsidRDefault="00E9289F" w:rsidP="00E9289F"/>
    <w:p w14:paraId="301DDA10" w14:textId="287E74C3" w:rsidR="00E9289F" w:rsidRDefault="00E9289F" w:rsidP="004D3026">
      <w:pPr>
        <w:pStyle w:val="FSTableTitle"/>
      </w:pPr>
      <w:r>
        <w:t xml:space="preserve">Table 1:  Summary of main issues being addressed and </w:t>
      </w:r>
      <w:r w:rsidR="00244AF8">
        <w:t xml:space="preserve">approved </w:t>
      </w:r>
      <w:r>
        <w:t xml:space="preserve">amendments </w:t>
      </w:r>
    </w:p>
    <w:p w14:paraId="27B7FB45" w14:textId="77777777" w:rsidR="004D3026" w:rsidRPr="004D3026" w:rsidRDefault="004D3026" w:rsidP="004D3026"/>
    <w:tbl>
      <w:tblPr>
        <w:tblStyle w:val="TableGrid"/>
        <w:tblW w:w="9072" w:type="dxa"/>
        <w:tblLook w:val="04A0" w:firstRow="1" w:lastRow="0" w:firstColumn="1" w:lastColumn="0" w:noHBand="0" w:noVBand="1"/>
      </w:tblPr>
      <w:tblGrid>
        <w:gridCol w:w="2093"/>
        <w:gridCol w:w="3685"/>
        <w:gridCol w:w="3294"/>
      </w:tblGrid>
      <w:tr w:rsidR="00E9289F" w14:paraId="4AECCE7E" w14:textId="77777777" w:rsidTr="002D022D">
        <w:trPr>
          <w:tblHeader/>
        </w:trPr>
        <w:tc>
          <w:tcPr>
            <w:tcW w:w="2093" w:type="dxa"/>
            <w:shd w:val="clear" w:color="auto" w:fill="D6E3BC" w:themeFill="accent3" w:themeFillTint="66"/>
          </w:tcPr>
          <w:p w14:paraId="280D6C21" w14:textId="708AC535" w:rsidR="00E9289F" w:rsidRDefault="00E9289F" w:rsidP="008E0C66">
            <w:pPr>
              <w:pStyle w:val="FSTableHeading"/>
              <w:autoSpaceDE w:val="0"/>
            </w:pPr>
            <w:r>
              <w:t>Code reference</w:t>
            </w:r>
            <w:r w:rsidR="00143DBA">
              <w:rPr>
                <w:rFonts w:ascii="ZWAdobeF" w:hAnsi="ZWAdobeF" w:cs="ZWAdobeF"/>
                <w:b w:val="0"/>
                <w:sz w:val="2"/>
                <w:szCs w:val="2"/>
              </w:rPr>
              <w:t>1F</w:t>
            </w:r>
            <w:r w:rsidR="008E0C66">
              <w:rPr>
                <w:rFonts w:ascii="ZWAdobeF" w:hAnsi="ZWAdobeF" w:cs="ZWAdobeF"/>
                <w:b w:val="0"/>
                <w:sz w:val="2"/>
                <w:szCs w:val="2"/>
              </w:rPr>
              <w:t>1F</w:t>
            </w:r>
            <w:r>
              <w:rPr>
                <w:rStyle w:val="FootnoteReference"/>
              </w:rPr>
              <w:footnoteReference w:id="3"/>
            </w:r>
          </w:p>
          <w:p w14:paraId="25FA0937" w14:textId="77777777" w:rsidR="00E9289F" w:rsidRDefault="00E9289F" w:rsidP="00EC7646">
            <w:pPr>
              <w:pStyle w:val="FSTableHeading"/>
            </w:pPr>
          </w:p>
        </w:tc>
        <w:tc>
          <w:tcPr>
            <w:tcW w:w="3685" w:type="dxa"/>
            <w:shd w:val="clear" w:color="auto" w:fill="D6E3BC" w:themeFill="accent3" w:themeFillTint="66"/>
          </w:tcPr>
          <w:p w14:paraId="04404F4D" w14:textId="77777777" w:rsidR="00E9289F" w:rsidRDefault="00E9289F" w:rsidP="00EC7646">
            <w:pPr>
              <w:pStyle w:val="FSTableHeading"/>
            </w:pPr>
            <w:r>
              <w:t>Issue</w:t>
            </w:r>
          </w:p>
        </w:tc>
        <w:tc>
          <w:tcPr>
            <w:tcW w:w="3294" w:type="dxa"/>
            <w:shd w:val="clear" w:color="auto" w:fill="D6E3BC" w:themeFill="accent3" w:themeFillTint="66"/>
          </w:tcPr>
          <w:p w14:paraId="322EDD4E" w14:textId="6A3FEADF" w:rsidR="00E9289F" w:rsidRDefault="00244AF8" w:rsidP="00EC7646">
            <w:pPr>
              <w:pStyle w:val="FSTableHeading"/>
            </w:pPr>
            <w:r>
              <w:t xml:space="preserve">Approved </w:t>
            </w:r>
            <w:r w:rsidR="00E9289F">
              <w:t>amendment</w:t>
            </w:r>
          </w:p>
        </w:tc>
      </w:tr>
      <w:tr w:rsidR="00E9289F" w14:paraId="3A49347F" w14:textId="77777777" w:rsidTr="002D022D">
        <w:tc>
          <w:tcPr>
            <w:tcW w:w="2093" w:type="dxa"/>
          </w:tcPr>
          <w:p w14:paraId="4083FED3" w14:textId="111232D2" w:rsidR="00E60859" w:rsidRPr="00486864" w:rsidRDefault="00E60859" w:rsidP="00EC7646">
            <w:pPr>
              <w:pStyle w:val="Table2"/>
            </w:pPr>
            <w:r w:rsidRPr="00486864">
              <w:t>Current: Standard 1.2.7, Schedule 1</w:t>
            </w:r>
          </w:p>
          <w:p w14:paraId="2EC72A63" w14:textId="6D81BF0E" w:rsidR="00E60859" w:rsidRDefault="00E60859" w:rsidP="00EC7646">
            <w:pPr>
              <w:pStyle w:val="Table2"/>
            </w:pPr>
            <w:r w:rsidRPr="00486864">
              <w:t xml:space="preserve">Revised: </w:t>
            </w:r>
            <w:r w:rsidR="00486864" w:rsidRPr="00486864">
              <w:t>S</w:t>
            </w:r>
            <w:r w:rsidR="002700EB">
              <w:t xml:space="preserve">tandard 1.2.7 and </w:t>
            </w:r>
            <w:r w:rsidR="00486864" w:rsidRPr="00486864">
              <w:t>Schedule 4</w:t>
            </w:r>
          </w:p>
          <w:p w14:paraId="2AEF5980" w14:textId="77777777" w:rsidR="00E60859" w:rsidRDefault="00E60859" w:rsidP="00EC7646">
            <w:pPr>
              <w:pStyle w:val="Table2"/>
            </w:pPr>
          </w:p>
          <w:p w14:paraId="79BA8F19" w14:textId="011EAE52" w:rsidR="00E9289F" w:rsidRDefault="00E60859" w:rsidP="00EC7646">
            <w:pPr>
              <w:pStyle w:val="Table2"/>
            </w:pPr>
            <w:r>
              <w:t>C</w:t>
            </w:r>
            <w:r w:rsidR="00E9289F">
              <w:t>onditions for claims about lactose, salt or sodium and omega-3 fatty acids</w:t>
            </w:r>
          </w:p>
        </w:tc>
        <w:tc>
          <w:tcPr>
            <w:tcW w:w="3685" w:type="dxa"/>
          </w:tcPr>
          <w:p w14:paraId="0510BA15" w14:textId="565ADBAF" w:rsidR="00E9289F" w:rsidRDefault="00E9289F" w:rsidP="00EC7646">
            <w:pPr>
              <w:pStyle w:val="Table2"/>
            </w:pPr>
            <w:r>
              <w:t>C</w:t>
            </w:r>
            <w:r w:rsidRPr="00B40FAE">
              <w:t>onditions</w:t>
            </w:r>
            <w:r>
              <w:t xml:space="preserve"> for making these claims</w:t>
            </w:r>
            <w:r w:rsidRPr="00B40FAE">
              <w:t xml:space="preserve"> include a requirement to declare </w:t>
            </w:r>
            <w:r>
              <w:t>additional nutrients</w:t>
            </w:r>
            <w:r w:rsidRPr="00B40FAE">
              <w:t xml:space="preserve"> in the nutrition information </w:t>
            </w:r>
            <w:r>
              <w:t xml:space="preserve">panel (NIP). Schedule 1 </w:t>
            </w:r>
            <w:r w:rsidR="00964981">
              <w:t>of</w:t>
            </w:r>
            <w:r w:rsidR="00476CB0">
              <w:t xml:space="preserve"> the current Code (Schedule 4</w:t>
            </w:r>
            <w:r w:rsidR="00964981">
              <w:t xml:space="preserve"> </w:t>
            </w:r>
            <w:r w:rsidR="004D3026">
              <w:t>in the revised Code</w:t>
            </w:r>
            <w:r w:rsidR="00476CB0">
              <w:t xml:space="preserve">) </w:t>
            </w:r>
            <w:r>
              <w:t xml:space="preserve">does not indicate how to declare those nutrients, for example, where in the NIP, on what basis (e.g. per serving, per 100 g) or how much to declare (i.e. average quantity).  </w:t>
            </w:r>
          </w:p>
          <w:p w14:paraId="6DBF5ED0" w14:textId="77777777" w:rsidR="00E9289F" w:rsidRDefault="00E9289F" w:rsidP="00EC7646">
            <w:pPr>
              <w:pStyle w:val="Table2"/>
            </w:pPr>
          </w:p>
          <w:p w14:paraId="61A551B0" w14:textId="77777777" w:rsidR="00E9289F" w:rsidRDefault="00E9289F" w:rsidP="00EC7646">
            <w:pPr>
              <w:pStyle w:val="Table2"/>
            </w:pPr>
            <w:r>
              <w:t xml:space="preserve">For lactose and salt/sodium claims, before Standard 1.2.7 was gazetted, Standard 1.2.8 required the additional declarations to be ‘in accordance with subclause 5(1)’ of Standard 1.2.8 and therefore, in the prescribed format for a NIP. </w:t>
            </w:r>
          </w:p>
          <w:p w14:paraId="1E3BBE02" w14:textId="77777777" w:rsidR="00E9289F" w:rsidRDefault="00E9289F" w:rsidP="00EC7646">
            <w:pPr>
              <w:pStyle w:val="Table2"/>
            </w:pPr>
          </w:p>
        </w:tc>
        <w:tc>
          <w:tcPr>
            <w:tcW w:w="3294" w:type="dxa"/>
          </w:tcPr>
          <w:p w14:paraId="74F509DF" w14:textId="77777777" w:rsidR="00E9289F" w:rsidRDefault="00E9289F" w:rsidP="00EC7646">
            <w:pPr>
              <w:pStyle w:val="Table2"/>
            </w:pPr>
            <w:r>
              <w:t>T</w:t>
            </w:r>
            <w:r w:rsidRPr="00B40FAE">
              <w:t>he ‘average quantity</w:t>
            </w:r>
            <w:r>
              <w:t>’ of g</w:t>
            </w:r>
            <w:r w:rsidRPr="00B40FAE">
              <w:t>alactose</w:t>
            </w:r>
            <w:r>
              <w:t xml:space="preserve"> (for lactose claims)</w:t>
            </w:r>
            <w:r w:rsidRPr="00B40FAE">
              <w:t xml:space="preserve">, potassium </w:t>
            </w:r>
            <w:r>
              <w:t xml:space="preserve">(for salt/sodium claims) </w:t>
            </w:r>
            <w:r w:rsidRPr="00B40FAE">
              <w:t xml:space="preserve">and the specified omega-3 fatty acids </w:t>
            </w:r>
            <w:r>
              <w:t>will be</w:t>
            </w:r>
            <w:r w:rsidRPr="00B40FAE">
              <w:t xml:space="preserve"> required to be declared in accordance with the prescribed format for </w:t>
            </w:r>
            <w:r>
              <w:t xml:space="preserve">NIPs. </w:t>
            </w:r>
            <w:r w:rsidRPr="00B40FAE">
              <w:t>This will ensure consisten</w:t>
            </w:r>
            <w:r>
              <w:t>cy</w:t>
            </w:r>
            <w:r w:rsidRPr="00B40FAE">
              <w:t xml:space="preserve"> with other prescribed nutrition information</w:t>
            </w:r>
            <w:r>
              <w:t xml:space="preserve"> requirements, and with requirements in place before Standard 1.2.7 and associated amendments were gazetted</w:t>
            </w:r>
            <w:r w:rsidRPr="00B40FAE">
              <w:t>.</w:t>
            </w:r>
          </w:p>
          <w:p w14:paraId="7788A439" w14:textId="77777777" w:rsidR="00E9289F" w:rsidRDefault="00E9289F" w:rsidP="00EC7646">
            <w:pPr>
              <w:pStyle w:val="Table2"/>
            </w:pPr>
          </w:p>
          <w:p w14:paraId="05AB166F" w14:textId="5BBF4EBB" w:rsidR="004D3026" w:rsidRDefault="004D3026" w:rsidP="00EC7646">
            <w:pPr>
              <w:pStyle w:val="Table2"/>
            </w:pPr>
          </w:p>
          <w:p w14:paraId="776AEAD1" w14:textId="77777777" w:rsidR="004D3026" w:rsidRDefault="004D3026" w:rsidP="00EC7646">
            <w:pPr>
              <w:pStyle w:val="Table2"/>
            </w:pPr>
          </w:p>
          <w:p w14:paraId="55110246" w14:textId="77777777" w:rsidR="004D3026" w:rsidRDefault="004D3026" w:rsidP="00EC7646">
            <w:pPr>
              <w:pStyle w:val="Table2"/>
            </w:pPr>
          </w:p>
          <w:p w14:paraId="2634645C" w14:textId="77777777" w:rsidR="004D3026" w:rsidRDefault="004D3026" w:rsidP="00EC7646">
            <w:pPr>
              <w:pStyle w:val="Table2"/>
            </w:pPr>
          </w:p>
          <w:p w14:paraId="664C57DD" w14:textId="22C06EF1" w:rsidR="00E9289F" w:rsidRDefault="00E9289F" w:rsidP="00EC7646">
            <w:pPr>
              <w:pStyle w:val="Table2"/>
            </w:pPr>
            <w:r>
              <w:lastRenderedPageBreak/>
              <w:t xml:space="preserve">The requirements </w:t>
            </w:r>
            <w:r w:rsidR="00EC7646">
              <w:t>have been</w:t>
            </w:r>
            <w:r>
              <w:t xml:space="preserve"> moved from Standard 1.2.7 </w:t>
            </w:r>
            <w:r w:rsidR="00476CB0">
              <w:t>to Standard 1.2.8 (both current and revised Codes)</w:t>
            </w:r>
            <w:r>
              <w:t xml:space="preserve">, where other similar nutrition information requirements are located. </w:t>
            </w:r>
          </w:p>
          <w:p w14:paraId="19D39FB7" w14:textId="77777777" w:rsidR="00EC7646" w:rsidRPr="00AF368A" w:rsidRDefault="00EC7646" w:rsidP="00EC7646">
            <w:pPr>
              <w:pStyle w:val="Table2"/>
              <w:rPr>
                <w:i/>
              </w:rPr>
            </w:pPr>
          </w:p>
          <w:p w14:paraId="13A72EA2" w14:textId="37E139C5" w:rsidR="00EC7646" w:rsidRPr="00AF368A" w:rsidRDefault="00EC7646" w:rsidP="00EC7646">
            <w:pPr>
              <w:pStyle w:val="Table2"/>
              <w:rPr>
                <w:b/>
                <w:i/>
              </w:rPr>
            </w:pPr>
            <w:r w:rsidRPr="00AF368A">
              <w:rPr>
                <w:b/>
                <w:i/>
              </w:rPr>
              <w:t xml:space="preserve">Additional amendment since the </w:t>
            </w:r>
            <w:r w:rsidR="006F06BB">
              <w:rPr>
                <w:b/>
                <w:i/>
              </w:rPr>
              <w:t>c</w:t>
            </w:r>
            <w:r w:rsidRPr="00AF368A">
              <w:rPr>
                <w:b/>
                <w:i/>
              </w:rPr>
              <w:t xml:space="preserve">all for </w:t>
            </w:r>
            <w:r w:rsidR="006F06BB">
              <w:rPr>
                <w:b/>
                <w:i/>
              </w:rPr>
              <w:t>s</w:t>
            </w:r>
            <w:r w:rsidRPr="00AF368A">
              <w:rPr>
                <w:b/>
                <w:i/>
              </w:rPr>
              <w:t>ubmissions</w:t>
            </w:r>
            <w:r w:rsidR="002E12A5">
              <w:rPr>
                <w:b/>
                <w:i/>
              </w:rPr>
              <w:t>:</w:t>
            </w:r>
          </w:p>
          <w:p w14:paraId="5011146B" w14:textId="7072203F" w:rsidR="00EC7646" w:rsidRPr="00EA2929" w:rsidRDefault="00EC7646" w:rsidP="00EA2929">
            <w:pPr>
              <w:pStyle w:val="Table2"/>
              <w:rPr>
                <w:i/>
              </w:rPr>
            </w:pPr>
            <w:r w:rsidRPr="00AF368A">
              <w:rPr>
                <w:i/>
              </w:rPr>
              <w:t>A note has been included in Standard 1.2.7</w:t>
            </w:r>
            <w:r w:rsidR="00534C41">
              <w:rPr>
                <w:i/>
              </w:rPr>
              <w:t xml:space="preserve"> of both the current and revised Codes</w:t>
            </w:r>
            <w:r w:rsidRPr="00AF368A">
              <w:rPr>
                <w:i/>
              </w:rPr>
              <w:t xml:space="preserve"> to alert users that there may be additional nutrition labelling requirements in Standard 1.2.8 if certain nutrition content or health claims are made. </w:t>
            </w:r>
          </w:p>
        </w:tc>
      </w:tr>
      <w:tr w:rsidR="00E9289F" w14:paraId="540D27E3" w14:textId="77777777" w:rsidTr="002D022D">
        <w:trPr>
          <w:cantSplit/>
        </w:trPr>
        <w:tc>
          <w:tcPr>
            <w:tcW w:w="2093" w:type="dxa"/>
          </w:tcPr>
          <w:p w14:paraId="245B0080" w14:textId="09A87862" w:rsidR="00C22793" w:rsidRDefault="00C22793" w:rsidP="00EC7646">
            <w:pPr>
              <w:pStyle w:val="Table2"/>
            </w:pPr>
            <w:r>
              <w:lastRenderedPageBreak/>
              <w:t>Current: Standard 1.2.7, Schedule 5</w:t>
            </w:r>
          </w:p>
          <w:p w14:paraId="3FADCD44" w14:textId="77777777" w:rsidR="00C22793" w:rsidRDefault="00C22793" w:rsidP="00EC7646">
            <w:pPr>
              <w:pStyle w:val="Table2"/>
            </w:pPr>
            <w:r>
              <w:t>Revised: Schedule 5</w:t>
            </w:r>
          </w:p>
          <w:p w14:paraId="1F1EF071" w14:textId="77777777" w:rsidR="00C22793" w:rsidRDefault="00C22793" w:rsidP="00EC7646">
            <w:pPr>
              <w:pStyle w:val="Table2"/>
            </w:pPr>
          </w:p>
          <w:p w14:paraId="256FCDFF" w14:textId="09ED10C8" w:rsidR="00E9289F" w:rsidRDefault="00C22793" w:rsidP="009D3F75">
            <w:pPr>
              <w:pStyle w:val="Table2"/>
            </w:pPr>
            <w:r>
              <w:t>M</w:t>
            </w:r>
            <w:r w:rsidR="00E9289F">
              <w:t xml:space="preserve">ethod for determining the nutrient profiling score </w:t>
            </w:r>
          </w:p>
        </w:tc>
        <w:tc>
          <w:tcPr>
            <w:tcW w:w="3685" w:type="dxa"/>
          </w:tcPr>
          <w:p w14:paraId="4D3E6BA7" w14:textId="6D340615" w:rsidR="00E9289F" w:rsidRPr="007F2ED1" w:rsidRDefault="00E9289F" w:rsidP="00EC7646">
            <w:pPr>
              <w:pStyle w:val="Table2"/>
            </w:pPr>
            <w:r>
              <w:t>I</w:t>
            </w:r>
            <w:r w:rsidRPr="007F2ED1">
              <w:t xml:space="preserve">t was intended that the </w:t>
            </w:r>
            <w:r w:rsidR="009D3F75">
              <w:t>nutrient profiling score</w:t>
            </w:r>
            <w:r w:rsidRPr="007F2ED1">
              <w:t xml:space="preserve"> for a food could be determined using the information declared on its label</w:t>
            </w:r>
            <w:r>
              <w:t xml:space="preserve"> (including in the NIP)</w:t>
            </w:r>
            <w:r w:rsidRPr="007F2ED1">
              <w:t>. However</w:t>
            </w:r>
            <w:r w:rsidR="0078496E">
              <w:t>,</w:t>
            </w:r>
            <w:r w:rsidRPr="007F2ED1">
              <w:t xml:space="preserve"> the requirements in Schedule 5 do not clearly achieve this. </w:t>
            </w:r>
          </w:p>
          <w:p w14:paraId="6EB4D276" w14:textId="77777777" w:rsidR="00E9289F" w:rsidRDefault="00E9289F" w:rsidP="00EC7646">
            <w:pPr>
              <w:pStyle w:val="Table2"/>
            </w:pPr>
          </w:p>
          <w:p w14:paraId="1AB68A5C" w14:textId="18A80BCB" w:rsidR="00E9289F" w:rsidRPr="00EA2929" w:rsidRDefault="00E9289F" w:rsidP="00EA2929">
            <w:pPr>
              <w:pStyle w:val="Table2"/>
              <w:rPr>
                <w:i/>
              </w:rPr>
            </w:pPr>
            <w:r w:rsidRPr="004865C1">
              <w:t xml:space="preserve">For example, for protein and dietary fibre, the </w:t>
            </w:r>
            <w:r>
              <w:t>‘</w:t>
            </w:r>
            <w:r w:rsidRPr="00FB1DAA">
              <w:t>average</w:t>
            </w:r>
            <w:r>
              <w:t>’</w:t>
            </w:r>
            <w:r w:rsidRPr="00FB1DAA">
              <w:t xml:space="preserve"> </w:t>
            </w:r>
            <w:r w:rsidRPr="004865C1">
              <w:t xml:space="preserve">per 100 g or 100 mL of food is required, rather than the </w:t>
            </w:r>
            <w:r>
              <w:t>‘</w:t>
            </w:r>
            <w:r w:rsidRPr="00FB1DAA">
              <w:t>average quantity’</w:t>
            </w:r>
            <w:r w:rsidRPr="004865C1">
              <w:rPr>
                <w:i/>
              </w:rPr>
              <w:t xml:space="preserve"> </w:t>
            </w:r>
            <w:r w:rsidRPr="004865C1">
              <w:t xml:space="preserve">(as </w:t>
            </w:r>
            <w:r>
              <w:t xml:space="preserve">is </w:t>
            </w:r>
            <w:r w:rsidRPr="004865C1">
              <w:t xml:space="preserve">required to be declared in the </w:t>
            </w:r>
            <w:r>
              <w:t>NIP</w:t>
            </w:r>
            <w:r w:rsidRPr="004865C1">
              <w:t>)</w:t>
            </w:r>
            <w:r>
              <w:t xml:space="preserve">. Also, </w:t>
            </w:r>
            <w:r w:rsidRPr="004865C1">
              <w:t xml:space="preserve">it is not specified that the amount is </w:t>
            </w:r>
            <w:r>
              <w:t xml:space="preserve">to be </w:t>
            </w:r>
            <w:r w:rsidRPr="004865C1">
              <w:t>based on per 100 g or mL</w:t>
            </w:r>
            <w:r>
              <w:t xml:space="preserve"> of food,</w:t>
            </w:r>
            <w:r w:rsidRPr="004865C1">
              <w:t xml:space="preserve"> </w:t>
            </w:r>
            <w:r>
              <w:t>dependin</w:t>
            </w:r>
            <w:r w:rsidR="00EA2929">
              <w:t>g on the units used in the NIP.</w:t>
            </w:r>
          </w:p>
        </w:tc>
        <w:tc>
          <w:tcPr>
            <w:tcW w:w="3294" w:type="dxa"/>
          </w:tcPr>
          <w:p w14:paraId="67E6AC4F" w14:textId="4A174005" w:rsidR="00E9289F" w:rsidRDefault="00EC7646" w:rsidP="00EC7646">
            <w:pPr>
              <w:pStyle w:val="Table2"/>
            </w:pPr>
            <w:r>
              <w:t>Schedule 5</w:t>
            </w:r>
            <w:r w:rsidR="00C22793">
              <w:t xml:space="preserve"> (both current and revised Codes)</w:t>
            </w:r>
            <w:r>
              <w:t xml:space="preserve"> has been</w:t>
            </w:r>
            <w:r w:rsidR="00E9289F" w:rsidRPr="004865C1">
              <w:t xml:space="preserve"> amended to add that the </w:t>
            </w:r>
            <w:r w:rsidR="00E9289F">
              <w:t>‘</w:t>
            </w:r>
            <w:r w:rsidR="00E9289F" w:rsidRPr="00FB1DAA">
              <w:t>average quantity’</w:t>
            </w:r>
            <w:r w:rsidR="00E9289F" w:rsidRPr="004865C1">
              <w:t xml:space="preserve"> (rather than </w:t>
            </w:r>
            <w:r w:rsidR="00E9289F">
              <w:t>‘</w:t>
            </w:r>
            <w:r w:rsidR="00E9289F" w:rsidRPr="00FB1DAA">
              <w:t>quantity’) of</w:t>
            </w:r>
            <w:r w:rsidR="00E9289F" w:rsidRPr="004865C1">
              <w:t xml:space="preserve"> nutrients </w:t>
            </w:r>
            <w:r w:rsidR="00E9289F">
              <w:t>is</w:t>
            </w:r>
            <w:r w:rsidR="00E9289F" w:rsidRPr="004865C1">
              <w:t xml:space="preserve"> used in the </w:t>
            </w:r>
            <w:r w:rsidR="009D3F75">
              <w:t>nutrient profiling score</w:t>
            </w:r>
            <w:r w:rsidR="00E9289F" w:rsidRPr="004865C1">
              <w:t xml:space="preserve"> calculation and that the average quantity of protein and dietary fibre </w:t>
            </w:r>
            <w:r w:rsidR="00E9289F">
              <w:t xml:space="preserve">is to be based on </w:t>
            </w:r>
            <w:r w:rsidR="00E9289F" w:rsidRPr="004865C1">
              <w:t>per 100</w:t>
            </w:r>
            <w:r w:rsidR="0031600F">
              <w:t xml:space="preserve"> </w:t>
            </w:r>
            <w:r w:rsidR="00E9289F" w:rsidRPr="004865C1">
              <w:t>g or mL</w:t>
            </w:r>
            <w:r w:rsidR="00697878">
              <w:t xml:space="preserve"> of food</w:t>
            </w:r>
            <w:r w:rsidR="00E9289F">
              <w:t xml:space="preserve">, depending on the units used in the NIP. </w:t>
            </w:r>
          </w:p>
          <w:p w14:paraId="176D3814" w14:textId="77777777" w:rsidR="00E9289F" w:rsidRDefault="00E9289F" w:rsidP="00EC7646">
            <w:pPr>
              <w:pStyle w:val="Table2"/>
            </w:pPr>
          </w:p>
        </w:tc>
      </w:tr>
      <w:tr w:rsidR="00E9289F" w14:paraId="694BB60B" w14:textId="77777777" w:rsidTr="002D022D">
        <w:tc>
          <w:tcPr>
            <w:tcW w:w="2093" w:type="dxa"/>
          </w:tcPr>
          <w:p w14:paraId="7FBB39D7" w14:textId="7DF9E659" w:rsidR="00F73143" w:rsidRDefault="00F73143" w:rsidP="00EC7646">
            <w:pPr>
              <w:pStyle w:val="Table2"/>
            </w:pPr>
            <w:r>
              <w:t xml:space="preserve">Current: </w:t>
            </w:r>
            <w:r w:rsidR="00E9289F" w:rsidRPr="003E6850">
              <w:t xml:space="preserve">Standard 1.2.8, </w:t>
            </w:r>
            <w:r w:rsidR="007C30AB">
              <w:t>c</w:t>
            </w:r>
            <w:r w:rsidR="00E9289F" w:rsidRPr="003E6850">
              <w:t xml:space="preserve">lause 7B </w:t>
            </w:r>
          </w:p>
          <w:p w14:paraId="383320BE" w14:textId="7706E847" w:rsidR="00F73143" w:rsidRDefault="00F73143" w:rsidP="00EC7646">
            <w:pPr>
              <w:pStyle w:val="Table2"/>
            </w:pPr>
            <w:r>
              <w:t xml:space="preserve">Revised: </w:t>
            </w:r>
            <w:r w:rsidR="002700EB">
              <w:t xml:space="preserve">Section </w:t>
            </w:r>
            <w:r w:rsidR="000861A3">
              <w:t>1.2.</w:t>
            </w:r>
            <w:r w:rsidRPr="00F73143">
              <w:t>8—10</w:t>
            </w:r>
          </w:p>
          <w:p w14:paraId="5B152EF7" w14:textId="77777777" w:rsidR="00F73143" w:rsidRDefault="00F73143" w:rsidP="00EC7646">
            <w:pPr>
              <w:pStyle w:val="Table2"/>
            </w:pPr>
          </w:p>
          <w:p w14:paraId="17C01A64" w14:textId="4CA6DB2D" w:rsidR="00E9289F" w:rsidRPr="003E6850" w:rsidRDefault="00E9289F" w:rsidP="00EC7646">
            <w:pPr>
              <w:pStyle w:val="Table2"/>
            </w:pPr>
            <w:r w:rsidRPr="003E6850">
              <w:t>Percentage DI or RDI information presented outside the panel</w:t>
            </w:r>
          </w:p>
        </w:tc>
        <w:tc>
          <w:tcPr>
            <w:tcW w:w="3685" w:type="dxa"/>
          </w:tcPr>
          <w:p w14:paraId="3FC12986" w14:textId="4310DD36" w:rsidR="00E9289F" w:rsidRPr="003E6850" w:rsidRDefault="00562877" w:rsidP="00EC7646">
            <w:pPr>
              <w:pStyle w:val="Table2"/>
            </w:pPr>
            <w:r w:rsidRPr="003E6850">
              <w:t>The clause permits</w:t>
            </w:r>
            <w:r w:rsidR="00E9289F" w:rsidRPr="003E6850">
              <w:t xml:space="preserve"> percentage Daily Intake (%DI) for energy </w:t>
            </w:r>
            <w:r w:rsidRPr="003E6850">
              <w:t xml:space="preserve">to </w:t>
            </w:r>
            <w:r w:rsidR="00E9289F" w:rsidRPr="003E6850">
              <w:t xml:space="preserve">be </w:t>
            </w:r>
            <w:r w:rsidRPr="003E6850">
              <w:t xml:space="preserve">declared outside the NIP alone, </w:t>
            </w:r>
            <w:r w:rsidR="00E9289F" w:rsidRPr="003E6850">
              <w:t xml:space="preserve">without providing %DI for other nutrients outside the NIP. </w:t>
            </w:r>
            <w:r w:rsidRPr="003E6850">
              <w:t>However, this is not expressly stated in the clause.</w:t>
            </w:r>
          </w:p>
          <w:p w14:paraId="7062C02F" w14:textId="77777777" w:rsidR="00E9289F" w:rsidRPr="003E6850" w:rsidRDefault="00E9289F" w:rsidP="00EC7646">
            <w:pPr>
              <w:pStyle w:val="Table2"/>
            </w:pPr>
          </w:p>
          <w:p w14:paraId="1773C85B" w14:textId="4EDD95C7" w:rsidR="00E9289F" w:rsidRPr="003E6850" w:rsidRDefault="00562877" w:rsidP="00EC7646">
            <w:pPr>
              <w:pStyle w:val="Table2"/>
            </w:pPr>
            <w:r w:rsidRPr="003E6850">
              <w:rPr>
                <w:lang w:eastAsia="en-AU" w:bidi="ar-SA"/>
              </w:rPr>
              <w:t>A</w:t>
            </w:r>
            <w:r w:rsidR="00697878">
              <w:rPr>
                <w:lang w:eastAsia="en-AU" w:bidi="ar-SA"/>
              </w:rPr>
              <w:t>nother</w:t>
            </w:r>
            <w:r w:rsidRPr="003E6850">
              <w:rPr>
                <w:lang w:eastAsia="en-AU" w:bidi="ar-SA"/>
              </w:rPr>
              <w:t xml:space="preserve"> purpose of the clause was to permit</w:t>
            </w:r>
            <w:r w:rsidR="00E9289F" w:rsidRPr="003E6850">
              <w:t xml:space="preserve"> %DI for dietary fibre to be declared outside the NIP</w:t>
            </w:r>
            <w:r w:rsidR="00697878">
              <w:t>,</w:t>
            </w:r>
            <w:r w:rsidR="00E9289F" w:rsidRPr="003E6850">
              <w:t xml:space="preserve"> </w:t>
            </w:r>
            <w:r w:rsidR="00697878" w:rsidRPr="003E6850">
              <w:t>together with the %DI for the prescribed nutrients</w:t>
            </w:r>
            <w:r w:rsidR="00697878">
              <w:t>,</w:t>
            </w:r>
            <w:r w:rsidR="00697878" w:rsidRPr="003E6850">
              <w:t xml:space="preserve"> </w:t>
            </w:r>
            <w:r w:rsidR="00E9289F" w:rsidRPr="003E6850">
              <w:t>if</w:t>
            </w:r>
            <w:r w:rsidR="0031600F">
              <w:t xml:space="preserve"> </w:t>
            </w:r>
            <w:r w:rsidR="001854F0">
              <w:t>the information</w:t>
            </w:r>
            <w:r w:rsidR="0031600F">
              <w:t xml:space="preserve"> is also declared in the NIP.</w:t>
            </w:r>
            <w:r w:rsidRPr="003E6850">
              <w:t xml:space="preserve"> However, this is not expressly stated in the clause.</w:t>
            </w:r>
          </w:p>
          <w:p w14:paraId="4FDA1982" w14:textId="77777777" w:rsidR="00E9289F" w:rsidRPr="003E6850" w:rsidRDefault="00E9289F" w:rsidP="00EC7646">
            <w:pPr>
              <w:pStyle w:val="Table2"/>
              <w:rPr>
                <w:lang w:eastAsia="en-AU" w:bidi="ar-SA"/>
              </w:rPr>
            </w:pPr>
          </w:p>
        </w:tc>
        <w:tc>
          <w:tcPr>
            <w:tcW w:w="3294" w:type="dxa"/>
          </w:tcPr>
          <w:p w14:paraId="69D991EA" w14:textId="77777777" w:rsidR="00CD2D19" w:rsidRPr="003E6850" w:rsidRDefault="00CD2D19" w:rsidP="004F75B9">
            <w:pPr>
              <w:pStyle w:val="Table2"/>
              <w:rPr>
                <w:b/>
                <w:i/>
              </w:rPr>
            </w:pPr>
            <w:r w:rsidRPr="003E6850">
              <w:rPr>
                <w:b/>
                <w:i/>
              </w:rPr>
              <w:t>Additional amendment since the call for submissions:</w:t>
            </w:r>
          </w:p>
          <w:p w14:paraId="2FA89AFC" w14:textId="04BFC296" w:rsidR="004F75B9" w:rsidRPr="003E6850" w:rsidRDefault="004F75B9" w:rsidP="004F75B9">
            <w:pPr>
              <w:pStyle w:val="Table2"/>
              <w:rPr>
                <w:i/>
              </w:rPr>
            </w:pPr>
            <w:r w:rsidRPr="003E6850">
              <w:rPr>
                <w:i/>
              </w:rPr>
              <w:t>FSANZ has decided not to proceed with the draft variation r</w:t>
            </w:r>
            <w:r w:rsidR="0031600F">
              <w:rPr>
                <w:i/>
              </w:rPr>
              <w:t>elating to %DI as part of this P</w:t>
            </w:r>
            <w:r w:rsidRPr="003E6850">
              <w:rPr>
                <w:i/>
              </w:rPr>
              <w:t xml:space="preserve">roposal. This is based on </w:t>
            </w:r>
            <w:r w:rsidR="00562877" w:rsidRPr="003E6850">
              <w:rPr>
                <w:i/>
              </w:rPr>
              <w:t xml:space="preserve">the differing opinions on the clause’s effect and </w:t>
            </w:r>
            <w:r w:rsidRPr="003E6850">
              <w:rPr>
                <w:i/>
              </w:rPr>
              <w:t xml:space="preserve">submitter concerns that the proposed drafting created further regulation. </w:t>
            </w:r>
            <w:r w:rsidR="00562877" w:rsidRPr="003E6850">
              <w:rPr>
                <w:i/>
              </w:rPr>
              <w:t xml:space="preserve">If so, the </w:t>
            </w:r>
            <w:r w:rsidRPr="003E6850">
              <w:rPr>
                <w:i/>
              </w:rPr>
              <w:t xml:space="preserve">proposed variation may </w:t>
            </w:r>
            <w:r w:rsidR="00FF74BC" w:rsidRPr="003E6850">
              <w:rPr>
                <w:i/>
              </w:rPr>
              <w:t>result in a</w:t>
            </w:r>
            <w:r w:rsidRPr="003E6850">
              <w:rPr>
                <w:i/>
              </w:rPr>
              <w:t xml:space="preserve"> more significant change than the minor amendments within</w:t>
            </w:r>
            <w:r w:rsidR="0031600F">
              <w:rPr>
                <w:i/>
              </w:rPr>
              <w:t xml:space="preserve"> the scope of this P</w:t>
            </w:r>
            <w:r w:rsidR="00FF74BC" w:rsidRPr="003E6850">
              <w:rPr>
                <w:i/>
              </w:rPr>
              <w:t xml:space="preserve">roposal. </w:t>
            </w:r>
          </w:p>
          <w:p w14:paraId="6F8DC45D" w14:textId="77777777" w:rsidR="004F75B9" w:rsidRPr="003E6850" w:rsidRDefault="004F75B9" w:rsidP="004F75B9">
            <w:pPr>
              <w:pStyle w:val="Table2"/>
            </w:pPr>
          </w:p>
          <w:p w14:paraId="4687F841" w14:textId="7F5DA520" w:rsidR="00F46513" w:rsidRPr="003E6850" w:rsidRDefault="004F75B9" w:rsidP="00D900FE">
            <w:pPr>
              <w:pStyle w:val="Table2"/>
            </w:pPr>
            <w:r w:rsidRPr="003E6850">
              <w:t xml:space="preserve">In terms of the clarification that was intended to be provided, FSANZ considers that the current </w:t>
            </w:r>
            <w:r w:rsidR="00562877" w:rsidRPr="003E6850">
              <w:t xml:space="preserve">clause </w:t>
            </w:r>
            <w:r w:rsidRPr="003E6850">
              <w:t xml:space="preserve">does not explicitly prohibit %DI for energy alone (without %DI for the other nutrients) being provided outside the NIP. Likewise, there is no prohibition on providing %DI for dietary fibre </w:t>
            </w:r>
            <w:r w:rsidR="00CA6B45" w:rsidRPr="003E6850">
              <w:t xml:space="preserve">alone </w:t>
            </w:r>
            <w:r w:rsidRPr="003E6850">
              <w:t>outside the NIP</w:t>
            </w:r>
            <w:r w:rsidR="00D900FE">
              <w:t xml:space="preserve">. </w:t>
            </w:r>
          </w:p>
        </w:tc>
      </w:tr>
      <w:tr w:rsidR="00E9289F" w14:paraId="50CA2A3A" w14:textId="77777777" w:rsidTr="002D022D">
        <w:tc>
          <w:tcPr>
            <w:tcW w:w="2093" w:type="dxa"/>
          </w:tcPr>
          <w:p w14:paraId="6EBB9BF0" w14:textId="3F6F1E38" w:rsidR="00964981" w:rsidRPr="00CB6D7D" w:rsidRDefault="00964981" w:rsidP="004D3026">
            <w:pPr>
              <w:pStyle w:val="Table2"/>
              <w:pageBreakBefore/>
            </w:pPr>
            <w:r>
              <w:lastRenderedPageBreak/>
              <w:t xml:space="preserve">Current: </w:t>
            </w:r>
            <w:r w:rsidR="00E9289F">
              <w:t>Standard 1</w:t>
            </w:r>
            <w:r>
              <w:t>.2.8</w:t>
            </w:r>
            <w:r w:rsidR="002700EB" w:rsidRPr="00CB6D7D">
              <w:t>, clause 8</w:t>
            </w:r>
          </w:p>
          <w:p w14:paraId="5C6E8E14" w14:textId="5F09E70C" w:rsidR="00964981" w:rsidRDefault="002700EB" w:rsidP="00EC7646">
            <w:pPr>
              <w:pStyle w:val="Table2"/>
            </w:pPr>
            <w:r w:rsidRPr="00CB6D7D">
              <w:t xml:space="preserve">Revised: Section </w:t>
            </w:r>
            <w:r w:rsidR="007C30AB">
              <w:t>1.2.</w:t>
            </w:r>
            <w:r w:rsidRPr="00CB6D7D">
              <w:t>8—14</w:t>
            </w:r>
            <w:r w:rsidR="00E735AB" w:rsidRPr="00CB6D7D">
              <w:t xml:space="preserve"> and Schedule 13</w:t>
            </w:r>
          </w:p>
          <w:p w14:paraId="6E78474C" w14:textId="77777777" w:rsidR="00964981" w:rsidRDefault="00964981" w:rsidP="00EC7646">
            <w:pPr>
              <w:pStyle w:val="Table2"/>
            </w:pPr>
          </w:p>
          <w:p w14:paraId="1893BB6F" w14:textId="140D7AD1" w:rsidR="00E9289F" w:rsidRDefault="00964981" w:rsidP="002700EB">
            <w:pPr>
              <w:pStyle w:val="Table2"/>
            </w:pPr>
            <w:r>
              <w:t>C</w:t>
            </w:r>
            <w:r w:rsidR="002700EB">
              <w:t>onditions for small packages</w:t>
            </w:r>
          </w:p>
        </w:tc>
        <w:tc>
          <w:tcPr>
            <w:tcW w:w="3685" w:type="dxa"/>
          </w:tcPr>
          <w:p w14:paraId="768A5954" w14:textId="77777777" w:rsidR="00E9289F" w:rsidRDefault="00E9289F" w:rsidP="00EC7646">
            <w:pPr>
              <w:pStyle w:val="Table2"/>
              <w:rPr>
                <w:lang w:eastAsia="en-AU" w:bidi="ar-SA"/>
              </w:rPr>
            </w:pPr>
            <w:r>
              <w:t>If certain claims about food in a small package are made, the</w:t>
            </w:r>
            <w:r>
              <w:rPr>
                <w:lang w:eastAsia="en-AU" w:bidi="ar-SA"/>
              </w:rPr>
              <w:t xml:space="preserve"> ‘</w:t>
            </w:r>
            <w:r w:rsidRPr="00FB1DAA">
              <w:rPr>
                <w:lang w:eastAsia="en-AU" w:bidi="ar-SA"/>
              </w:rPr>
              <w:t>minimum’, ‘maximum’ or ‘average quantity’ of</w:t>
            </w:r>
            <w:r>
              <w:rPr>
                <w:lang w:eastAsia="en-AU" w:bidi="ar-SA"/>
              </w:rPr>
              <w:t xml:space="preserve"> various nutrients must be declared. </w:t>
            </w:r>
          </w:p>
          <w:p w14:paraId="3491DAB6" w14:textId="77777777" w:rsidR="00E9289F" w:rsidRDefault="00E9289F" w:rsidP="00EC7646">
            <w:pPr>
              <w:pStyle w:val="Table2"/>
              <w:rPr>
                <w:lang w:eastAsia="en-AU" w:bidi="ar-SA"/>
              </w:rPr>
            </w:pPr>
          </w:p>
          <w:p w14:paraId="0545932A" w14:textId="6843150C" w:rsidR="00E9289F" w:rsidRDefault="00E9289F" w:rsidP="00D900FE">
            <w:pPr>
              <w:pStyle w:val="Table2"/>
              <w:rPr>
                <w:lang w:eastAsia="en-AU" w:bidi="ar-SA"/>
              </w:rPr>
            </w:pPr>
            <w:r>
              <w:rPr>
                <w:lang w:eastAsia="en-AU" w:bidi="ar-SA"/>
              </w:rPr>
              <w:t>The intention was that these requirements were consistent with provisions for NIPs (on larger packages) for declaring the minimum or maximum amounts, as an alternative to an ‘</w:t>
            </w:r>
            <w:r w:rsidRPr="00FB1DAA">
              <w:rPr>
                <w:lang w:eastAsia="en-AU" w:bidi="ar-SA"/>
              </w:rPr>
              <w:t>average quantity’</w:t>
            </w:r>
            <w:r>
              <w:rPr>
                <w:i/>
                <w:lang w:eastAsia="en-AU" w:bidi="ar-SA"/>
              </w:rPr>
              <w:t>.</w:t>
            </w:r>
            <w:r>
              <w:rPr>
                <w:lang w:eastAsia="en-AU" w:bidi="ar-SA"/>
              </w:rPr>
              <w:t xml:space="preserve"> However</w:t>
            </w:r>
            <w:r w:rsidR="0078496E">
              <w:rPr>
                <w:lang w:eastAsia="en-AU" w:bidi="ar-SA"/>
              </w:rPr>
              <w:t>,</w:t>
            </w:r>
            <w:r>
              <w:rPr>
                <w:lang w:eastAsia="en-AU" w:bidi="ar-SA"/>
              </w:rPr>
              <w:t xml:space="preserve"> the permission to declare a minimum or maximum was inadvertently applied to a broader range of foods and claims on small packages compared to permissions for declaring minimum or maximum quantities in NIPs on larger </w:t>
            </w:r>
            <w:r w:rsidR="00D900FE">
              <w:rPr>
                <w:lang w:eastAsia="en-AU" w:bidi="ar-SA"/>
              </w:rPr>
              <w:t>packages.</w:t>
            </w:r>
          </w:p>
        </w:tc>
        <w:tc>
          <w:tcPr>
            <w:tcW w:w="3294" w:type="dxa"/>
          </w:tcPr>
          <w:p w14:paraId="592B782A" w14:textId="1525A334" w:rsidR="00E9289F" w:rsidRDefault="00E9289F" w:rsidP="00EC7646">
            <w:pPr>
              <w:pStyle w:val="Table2"/>
              <w:rPr>
                <w:lang w:eastAsia="en-AU" w:bidi="ar-SA"/>
              </w:rPr>
            </w:pPr>
            <w:r>
              <w:rPr>
                <w:lang w:eastAsia="en-AU" w:bidi="ar-SA"/>
              </w:rPr>
              <w:t>The provisions for small packages</w:t>
            </w:r>
            <w:r w:rsidR="00F46513">
              <w:rPr>
                <w:lang w:eastAsia="en-AU" w:bidi="ar-SA"/>
              </w:rPr>
              <w:t xml:space="preserve"> have</w:t>
            </w:r>
            <w:r>
              <w:rPr>
                <w:lang w:eastAsia="en-AU" w:bidi="ar-SA"/>
              </w:rPr>
              <w:t xml:space="preserve"> be</w:t>
            </w:r>
            <w:r w:rsidR="00F46513">
              <w:rPr>
                <w:lang w:eastAsia="en-AU" w:bidi="ar-SA"/>
              </w:rPr>
              <w:t>en</w:t>
            </w:r>
            <w:r>
              <w:rPr>
                <w:lang w:eastAsia="en-AU" w:bidi="ar-SA"/>
              </w:rPr>
              <w:t xml:space="preserve"> amended to be consistent with </w:t>
            </w:r>
            <w:r w:rsidR="00007372">
              <w:rPr>
                <w:lang w:eastAsia="en-AU" w:bidi="ar-SA"/>
              </w:rPr>
              <w:t>current</w:t>
            </w:r>
            <w:r>
              <w:rPr>
                <w:lang w:eastAsia="en-AU" w:bidi="ar-SA"/>
              </w:rPr>
              <w:t xml:space="preserve"> provisions for NIPs on larger packages, i.e. that the minimum or maximum amounts are only permitted to be declared in an NIP if the claim is about a food standardised in Standard 2.4.1 or 2.4.2 (edible oils or edible oil spreads)</w:t>
            </w:r>
            <w:r w:rsidR="00964981">
              <w:rPr>
                <w:lang w:eastAsia="en-AU" w:bidi="ar-SA"/>
              </w:rPr>
              <w:t xml:space="preserve"> (current and revised Codes)</w:t>
            </w:r>
            <w:r w:rsidRPr="00344C54">
              <w:rPr>
                <w:lang w:eastAsia="en-AU" w:bidi="ar-SA"/>
              </w:rPr>
              <w:t xml:space="preserve"> </w:t>
            </w:r>
            <w:r>
              <w:rPr>
                <w:lang w:eastAsia="en-AU" w:bidi="ar-SA"/>
              </w:rPr>
              <w:t xml:space="preserve">and </w:t>
            </w:r>
            <w:r w:rsidRPr="005C3454">
              <w:rPr>
                <w:lang w:eastAsia="en-AU" w:bidi="ar-SA"/>
              </w:rPr>
              <w:t>if the claim relates to polyunsaturated fatty acids or monounsaturated fatty acids.</w:t>
            </w:r>
            <w:r>
              <w:rPr>
                <w:lang w:eastAsia="en-AU" w:bidi="ar-SA"/>
              </w:rPr>
              <w:t xml:space="preserve"> </w:t>
            </w:r>
          </w:p>
          <w:p w14:paraId="73ADCF27" w14:textId="77777777" w:rsidR="00E9289F" w:rsidRDefault="00E9289F" w:rsidP="00EC7646">
            <w:pPr>
              <w:pStyle w:val="Table2"/>
              <w:rPr>
                <w:lang w:eastAsia="en-AU" w:bidi="ar-SA"/>
              </w:rPr>
            </w:pPr>
          </w:p>
          <w:p w14:paraId="6DF0FA95" w14:textId="77777777" w:rsidR="00E9289F" w:rsidRPr="00B31279" w:rsidRDefault="00E9289F" w:rsidP="00EC7646">
            <w:pPr>
              <w:pStyle w:val="Table2"/>
            </w:pPr>
            <w:r>
              <w:rPr>
                <w:lang w:eastAsia="en-AU" w:bidi="ar-SA"/>
              </w:rPr>
              <w:t xml:space="preserve">For all other declarations, the </w:t>
            </w:r>
            <w:r w:rsidRPr="00FB1DAA">
              <w:rPr>
                <w:lang w:eastAsia="en-AU" w:bidi="ar-SA"/>
              </w:rPr>
              <w:t>average quantity</w:t>
            </w:r>
            <w:r>
              <w:rPr>
                <w:i/>
                <w:lang w:eastAsia="en-AU" w:bidi="ar-SA"/>
              </w:rPr>
              <w:t xml:space="preserve"> </w:t>
            </w:r>
            <w:r>
              <w:rPr>
                <w:lang w:eastAsia="en-AU" w:bidi="ar-SA"/>
              </w:rPr>
              <w:t xml:space="preserve">must be indicated.  </w:t>
            </w:r>
          </w:p>
        </w:tc>
      </w:tr>
      <w:tr w:rsidR="00E9289F" w14:paraId="7AD44C32" w14:textId="77777777" w:rsidTr="002D022D">
        <w:tc>
          <w:tcPr>
            <w:tcW w:w="2093" w:type="dxa"/>
          </w:tcPr>
          <w:p w14:paraId="002B9BE9" w14:textId="77777777" w:rsidR="000771D1" w:rsidRDefault="000771D1" w:rsidP="00EC7646">
            <w:pPr>
              <w:pStyle w:val="Table2"/>
            </w:pPr>
            <w:r>
              <w:t xml:space="preserve">Current: </w:t>
            </w:r>
            <w:r w:rsidR="00E9289F">
              <w:t xml:space="preserve">Standard 1.2.8, </w:t>
            </w:r>
            <w:r>
              <w:t>clause 8</w:t>
            </w:r>
          </w:p>
          <w:p w14:paraId="2DF4C995" w14:textId="1CEA3436" w:rsidR="000771D1" w:rsidRDefault="000771D1" w:rsidP="00EC7646">
            <w:pPr>
              <w:pStyle w:val="Table2"/>
            </w:pPr>
            <w:r w:rsidRPr="005237F0">
              <w:t xml:space="preserve">Revised: </w:t>
            </w:r>
            <w:r w:rsidR="00CB6D7D">
              <w:t>Schedule 13</w:t>
            </w:r>
          </w:p>
          <w:p w14:paraId="046F5C18" w14:textId="77777777" w:rsidR="000771D1" w:rsidRDefault="000771D1" w:rsidP="00EC7646">
            <w:pPr>
              <w:pStyle w:val="Table2"/>
            </w:pPr>
          </w:p>
          <w:p w14:paraId="76C2D5E6" w14:textId="0425B455" w:rsidR="00E9289F" w:rsidRDefault="000771D1" w:rsidP="000771D1">
            <w:pPr>
              <w:pStyle w:val="Table2"/>
            </w:pPr>
            <w:r>
              <w:t>C</w:t>
            </w:r>
            <w:r w:rsidR="00E9289F">
              <w:t>onditions for small packages</w:t>
            </w:r>
          </w:p>
        </w:tc>
        <w:tc>
          <w:tcPr>
            <w:tcW w:w="3685" w:type="dxa"/>
          </w:tcPr>
          <w:p w14:paraId="2B94C8CD" w14:textId="77777777" w:rsidR="00E9289F" w:rsidRDefault="00E9289F" w:rsidP="00EC7646">
            <w:pPr>
              <w:pStyle w:val="Table2"/>
            </w:pPr>
            <w:r>
              <w:rPr>
                <w:lang w:eastAsia="en-AU" w:bidi="ar-SA"/>
              </w:rPr>
              <w:t>For claims about dietary fibre, sugars or any other carbohydrate, the ‘</w:t>
            </w:r>
            <w:r w:rsidRPr="001027B6">
              <w:rPr>
                <w:lang w:eastAsia="en-AU" w:bidi="ar-SA"/>
              </w:rPr>
              <w:t>average quantity of energy</w:t>
            </w:r>
            <w:r>
              <w:rPr>
                <w:lang w:eastAsia="en-AU" w:bidi="ar-SA"/>
              </w:rPr>
              <w:t xml:space="preserve">’ is required to be declared rather than the ‘average energy content’ as is required for NIPs on larger packages. </w:t>
            </w:r>
          </w:p>
        </w:tc>
        <w:tc>
          <w:tcPr>
            <w:tcW w:w="3294" w:type="dxa"/>
          </w:tcPr>
          <w:p w14:paraId="4CE93533" w14:textId="77777777" w:rsidR="001854F0" w:rsidRDefault="00E9289F" w:rsidP="00DD13E8">
            <w:pPr>
              <w:pStyle w:val="Table2"/>
              <w:rPr>
                <w:lang w:eastAsia="en-AU" w:bidi="ar-SA"/>
              </w:rPr>
            </w:pPr>
            <w:r>
              <w:rPr>
                <w:lang w:eastAsia="en-AU" w:bidi="ar-SA"/>
              </w:rPr>
              <w:t xml:space="preserve">For </w:t>
            </w:r>
            <w:r w:rsidRPr="00DD0654">
              <w:rPr>
                <w:lang w:eastAsia="en-AU" w:bidi="ar-SA"/>
              </w:rPr>
              <w:t>claims about dietary fibre, sugars or any other carbohydrates</w:t>
            </w:r>
            <w:r>
              <w:rPr>
                <w:lang w:eastAsia="en-AU" w:bidi="ar-SA"/>
              </w:rPr>
              <w:t xml:space="preserve">, the ‘average energy content’ </w:t>
            </w:r>
            <w:r w:rsidR="00DD13E8">
              <w:rPr>
                <w:lang w:eastAsia="en-AU" w:bidi="ar-SA"/>
              </w:rPr>
              <w:t xml:space="preserve">will be </w:t>
            </w:r>
            <w:r w:rsidRPr="00DD0654">
              <w:rPr>
                <w:lang w:eastAsia="en-AU" w:bidi="ar-SA"/>
              </w:rPr>
              <w:t xml:space="preserve">required to be declared. </w:t>
            </w:r>
          </w:p>
          <w:p w14:paraId="147CA1D8" w14:textId="77777777" w:rsidR="001854F0" w:rsidRDefault="001854F0" w:rsidP="00DD13E8">
            <w:pPr>
              <w:pStyle w:val="Table2"/>
              <w:rPr>
                <w:lang w:eastAsia="en-AU" w:bidi="ar-SA"/>
              </w:rPr>
            </w:pPr>
          </w:p>
          <w:p w14:paraId="33E1DC7C" w14:textId="275237BC" w:rsidR="00E9289F" w:rsidRDefault="00E9289F" w:rsidP="00DD13E8">
            <w:pPr>
              <w:pStyle w:val="Table2"/>
            </w:pPr>
            <w:r w:rsidRPr="00DD0654">
              <w:rPr>
                <w:lang w:eastAsia="en-AU" w:bidi="ar-SA"/>
              </w:rPr>
              <w:t xml:space="preserve">Average energy content is to be calculated in accordance with the standardised method in </w:t>
            </w:r>
            <w:r w:rsidR="004D3396">
              <w:rPr>
                <w:lang w:eastAsia="en-AU" w:bidi="ar-SA"/>
              </w:rPr>
              <w:t>sub</w:t>
            </w:r>
            <w:r w:rsidRPr="00DD0654">
              <w:rPr>
                <w:lang w:eastAsia="en-AU" w:bidi="ar-SA"/>
              </w:rPr>
              <w:t>clause 1</w:t>
            </w:r>
            <w:r w:rsidR="004D3396">
              <w:rPr>
                <w:lang w:eastAsia="en-AU" w:bidi="ar-SA"/>
              </w:rPr>
              <w:t>(3)</w:t>
            </w:r>
            <w:r w:rsidRPr="00DD0654">
              <w:rPr>
                <w:lang w:eastAsia="en-AU" w:bidi="ar-SA"/>
              </w:rPr>
              <w:t xml:space="preserve"> of Standard 1.2.8</w:t>
            </w:r>
            <w:r w:rsidR="005237F0">
              <w:rPr>
                <w:lang w:eastAsia="en-AU" w:bidi="ar-SA"/>
              </w:rPr>
              <w:t xml:space="preserve"> of the current Code (</w:t>
            </w:r>
            <w:r w:rsidR="007C30AB" w:rsidRPr="00AB5C80">
              <w:t>s</w:t>
            </w:r>
            <w:r w:rsidR="005237F0" w:rsidRPr="00AB5C80">
              <w:t>ection S</w:t>
            </w:r>
            <w:r w:rsidR="007C30AB" w:rsidRPr="00AB5C80">
              <w:t>11</w:t>
            </w:r>
            <w:r w:rsidR="005237F0" w:rsidRPr="00AB5C80">
              <w:t>—</w:t>
            </w:r>
            <w:r w:rsidR="007C30AB" w:rsidRPr="00AB5C80">
              <w:t>2</w:t>
            </w:r>
            <w:r w:rsidR="005237F0" w:rsidRPr="00AB5C80">
              <w:t xml:space="preserve"> </w:t>
            </w:r>
            <w:r w:rsidR="004D3026">
              <w:t>in Schedule</w:t>
            </w:r>
            <w:r w:rsidR="001854F0">
              <w:t xml:space="preserve"> 11 </w:t>
            </w:r>
            <w:r w:rsidR="004D3026">
              <w:t>in the revised Code</w:t>
            </w:r>
            <w:r w:rsidR="005237F0">
              <w:t>).</w:t>
            </w:r>
          </w:p>
        </w:tc>
      </w:tr>
      <w:tr w:rsidR="00E9289F" w14:paraId="14743A25" w14:textId="77777777" w:rsidTr="002D022D">
        <w:tc>
          <w:tcPr>
            <w:tcW w:w="2093" w:type="dxa"/>
          </w:tcPr>
          <w:p w14:paraId="302B0D3A" w14:textId="759C7A43" w:rsidR="005237F0" w:rsidRDefault="005237F0" w:rsidP="00EC7646">
            <w:pPr>
              <w:pStyle w:val="Table2"/>
            </w:pPr>
            <w:r>
              <w:t xml:space="preserve">Current: </w:t>
            </w:r>
            <w:r w:rsidR="00E9289F" w:rsidRPr="00E20ACA">
              <w:t xml:space="preserve">Standard 1.2.8, </w:t>
            </w:r>
            <w:r w:rsidRPr="00E20ACA">
              <w:t>clause 8A</w:t>
            </w:r>
          </w:p>
          <w:p w14:paraId="6E391D9A" w14:textId="3DFD269C" w:rsidR="005237F0" w:rsidRDefault="005237F0" w:rsidP="00EC7646">
            <w:pPr>
              <w:pStyle w:val="Table2"/>
            </w:pPr>
            <w:r w:rsidRPr="00CB6D7D">
              <w:t xml:space="preserve">Revised: </w:t>
            </w:r>
            <w:r w:rsidR="00CB6D7D" w:rsidRPr="00CB6D7D">
              <w:t xml:space="preserve">Section </w:t>
            </w:r>
            <w:r w:rsidR="007C30AB">
              <w:t>1.2.</w:t>
            </w:r>
            <w:r w:rsidR="00CB6D7D" w:rsidRPr="00CB6D7D">
              <w:t>8—14</w:t>
            </w:r>
          </w:p>
          <w:p w14:paraId="26480CEC" w14:textId="77777777" w:rsidR="00CB6D7D" w:rsidRDefault="00CB6D7D" w:rsidP="005237F0">
            <w:pPr>
              <w:pStyle w:val="Table2"/>
            </w:pPr>
          </w:p>
          <w:p w14:paraId="3D7C217C" w14:textId="759C7A43" w:rsidR="00E9289F" w:rsidRDefault="005237F0" w:rsidP="005237F0">
            <w:pPr>
              <w:pStyle w:val="Table2"/>
            </w:pPr>
            <w:r>
              <w:t>Conditions for small packages</w:t>
            </w:r>
            <w:r w:rsidR="00E9289F" w:rsidRPr="00E20ACA">
              <w:t xml:space="preserve"> </w:t>
            </w:r>
          </w:p>
        </w:tc>
        <w:tc>
          <w:tcPr>
            <w:tcW w:w="3685" w:type="dxa"/>
          </w:tcPr>
          <w:p w14:paraId="29FFF24B" w14:textId="1254DBEB" w:rsidR="00E9289F" w:rsidRDefault="00E9289F" w:rsidP="001854F0">
            <w:pPr>
              <w:pStyle w:val="Table2"/>
              <w:rPr>
                <w:lang w:eastAsia="en-AU" w:bidi="ar-SA"/>
              </w:rPr>
            </w:pPr>
            <w:r>
              <w:rPr>
                <w:lang w:eastAsia="en-AU" w:bidi="ar-SA"/>
              </w:rPr>
              <w:t>For claims on small packages about dietary fibre, sugars or any other carbohydrate</w:t>
            </w:r>
            <w:r w:rsidRPr="00FB1DAA">
              <w:rPr>
                <w:lang w:eastAsia="en-AU" w:bidi="ar-SA"/>
              </w:rPr>
              <w:t>, ‘declaration of’</w:t>
            </w:r>
            <w:r w:rsidRPr="00DD0654">
              <w:rPr>
                <w:lang w:eastAsia="en-AU" w:bidi="ar-SA"/>
              </w:rPr>
              <w:t xml:space="preserve"> unavailable carbohydrate</w:t>
            </w:r>
            <w:r>
              <w:rPr>
                <w:lang w:eastAsia="en-AU" w:bidi="ar-SA"/>
              </w:rPr>
              <w:t xml:space="preserve"> and other substances if present, e.g. erythritol, glycerol, is required. It is not clear that an amount must be</w:t>
            </w:r>
            <w:r w:rsidRPr="00DD0654">
              <w:rPr>
                <w:lang w:eastAsia="en-AU" w:bidi="ar-SA"/>
              </w:rPr>
              <w:t xml:space="preserve"> declared, or </w:t>
            </w:r>
            <w:r>
              <w:rPr>
                <w:lang w:eastAsia="en-AU" w:bidi="ar-SA"/>
              </w:rPr>
              <w:t xml:space="preserve">what quantity of food the amount of each substance relates to. </w:t>
            </w:r>
          </w:p>
        </w:tc>
        <w:tc>
          <w:tcPr>
            <w:tcW w:w="3294" w:type="dxa"/>
          </w:tcPr>
          <w:p w14:paraId="5AFEF2B3" w14:textId="029F9C2F" w:rsidR="00E9289F" w:rsidRPr="00822FD6" w:rsidRDefault="00E9289F" w:rsidP="00EC7646">
            <w:pPr>
              <w:pStyle w:val="Table2"/>
            </w:pPr>
            <w:r w:rsidRPr="00822FD6">
              <w:t xml:space="preserve">The </w:t>
            </w:r>
            <w:r>
              <w:t xml:space="preserve">provisions </w:t>
            </w:r>
            <w:r w:rsidR="00F46513">
              <w:t xml:space="preserve">have been </w:t>
            </w:r>
            <w:r w:rsidRPr="00822FD6">
              <w:t xml:space="preserve">amended to be consistent with </w:t>
            </w:r>
            <w:r w:rsidR="00007372">
              <w:t>current</w:t>
            </w:r>
            <w:r w:rsidRPr="00822FD6">
              <w:t xml:space="preserve"> provisions for</w:t>
            </w:r>
            <w:r>
              <w:t xml:space="preserve"> NIPs</w:t>
            </w:r>
            <w:r w:rsidRPr="00822FD6">
              <w:t xml:space="preserve"> </w:t>
            </w:r>
            <w:r>
              <w:t xml:space="preserve">on larger packages </w:t>
            </w:r>
            <w:r w:rsidRPr="00822FD6">
              <w:t xml:space="preserve">and </w:t>
            </w:r>
            <w:r>
              <w:t xml:space="preserve">with </w:t>
            </w:r>
            <w:r w:rsidRPr="00822FD6">
              <w:t>other declarations on small packages,</w:t>
            </w:r>
            <w:r>
              <w:t xml:space="preserve"> as was intended</w:t>
            </w:r>
            <w:r w:rsidRPr="00822FD6">
              <w:t xml:space="preserve"> i.e. the </w:t>
            </w:r>
            <w:r w:rsidRPr="00FB1DAA">
              <w:t>‘average quantity’ of these substances must be declared ‘per serving’.</w:t>
            </w:r>
          </w:p>
          <w:p w14:paraId="01B19380" w14:textId="77777777" w:rsidR="00E9289F" w:rsidRDefault="00E9289F" w:rsidP="00EC7646">
            <w:pPr>
              <w:pStyle w:val="Table2"/>
            </w:pPr>
          </w:p>
        </w:tc>
      </w:tr>
      <w:tr w:rsidR="00E9289F" w14:paraId="0930F05D" w14:textId="77777777" w:rsidTr="002D022D">
        <w:trPr>
          <w:cantSplit/>
        </w:trPr>
        <w:tc>
          <w:tcPr>
            <w:tcW w:w="2093" w:type="dxa"/>
          </w:tcPr>
          <w:p w14:paraId="6336DCC9" w14:textId="77777777" w:rsidR="00CB6D7D" w:rsidRPr="00BB0E74" w:rsidRDefault="00CB6D7D" w:rsidP="00EC7646">
            <w:pPr>
              <w:pStyle w:val="Table2"/>
            </w:pPr>
            <w:r w:rsidRPr="00BB0E74">
              <w:t xml:space="preserve">Current: </w:t>
            </w:r>
            <w:r w:rsidR="00E9289F" w:rsidRPr="00BB0E74">
              <w:t>Standard 2.9.2 – Food for Infants, clause 9</w:t>
            </w:r>
          </w:p>
          <w:p w14:paraId="11D49E6B" w14:textId="38647CEF" w:rsidR="00CB6D7D" w:rsidRPr="00BB0E74" w:rsidRDefault="00CB6D7D" w:rsidP="00CB6D7D">
            <w:pPr>
              <w:pStyle w:val="Table2"/>
            </w:pPr>
            <w:r w:rsidRPr="00BB0E74">
              <w:t xml:space="preserve">Revised: </w:t>
            </w:r>
            <w:r w:rsidR="001854F0">
              <w:t>No amendment made</w:t>
            </w:r>
          </w:p>
          <w:p w14:paraId="49E74A1A" w14:textId="674C043E" w:rsidR="00E9289F" w:rsidRPr="00BB0E74" w:rsidRDefault="00E9289F" w:rsidP="00EC7646">
            <w:pPr>
              <w:pStyle w:val="Table2"/>
            </w:pPr>
          </w:p>
        </w:tc>
        <w:tc>
          <w:tcPr>
            <w:tcW w:w="3685" w:type="dxa"/>
          </w:tcPr>
          <w:p w14:paraId="00C6DB22" w14:textId="77777777" w:rsidR="001854F0" w:rsidRDefault="00E9289F" w:rsidP="00EC7646">
            <w:pPr>
              <w:pStyle w:val="Table2"/>
            </w:pPr>
            <w:r w:rsidRPr="00BB0E74">
              <w:t xml:space="preserve">As a result of amendments to Standard 1.2.8 when Standard 1.2.7 was developed, some of the clauses in Standard 1.2.8 relating to food in small packages (subclause 4(4) and clause 8A) </w:t>
            </w:r>
            <w:r w:rsidR="00AB5C80">
              <w:t xml:space="preserve">of the current Code </w:t>
            </w:r>
            <w:r w:rsidRPr="00BB0E74">
              <w:t>were inadvertently applied to food for infants.</w:t>
            </w:r>
          </w:p>
          <w:p w14:paraId="01669490" w14:textId="75FDD322" w:rsidR="001854F0" w:rsidRDefault="001854F0" w:rsidP="001854F0">
            <w:pPr>
              <w:pStyle w:val="Table2"/>
            </w:pPr>
          </w:p>
          <w:p w14:paraId="69F068A1" w14:textId="7DA8D464" w:rsidR="00E9289F" w:rsidRPr="00BB0E74" w:rsidRDefault="001854F0" w:rsidP="001854F0">
            <w:pPr>
              <w:pStyle w:val="Table2"/>
            </w:pPr>
            <w:r>
              <w:t>This is not an issue in the revised Code.</w:t>
            </w:r>
            <w:r w:rsidRPr="00BB0E74">
              <w:t xml:space="preserve"> </w:t>
            </w:r>
            <w:r w:rsidR="00E9289F" w:rsidRPr="00BB0E74">
              <w:t xml:space="preserve"> </w:t>
            </w:r>
          </w:p>
        </w:tc>
        <w:tc>
          <w:tcPr>
            <w:tcW w:w="3294" w:type="dxa"/>
          </w:tcPr>
          <w:p w14:paraId="46EAE22C" w14:textId="564DEF83" w:rsidR="00E9289F" w:rsidRPr="009540D7" w:rsidRDefault="00E9289F" w:rsidP="00EC7646">
            <w:pPr>
              <w:pStyle w:val="Table2"/>
            </w:pPr>
            <w:r w:rsidRPr="00BB0E74">
              <w:t>Clause 9 of Standard 2.9.2</w:t>
            </w:r>
            <w:r w:rsidR="00D21BED" w:rsidRPr="00BB0E74">
              <w:t xml:space="preserve"> of the current Code </w:t>
            </w:r>
            <w:r w:rsidR="00F46513" w:rsidRPr="00BB0E74">
              <w:t xml:space="preserve">has been </w:t>
            </w:r>
            <w:r w:rsidRPr="00BB0E74">
              <w:t xml:space="preserve">amended to clarify that the clauses about food in small packages in Standard 1.2.8 do not apply to food for infants. </w:t>
            </w:r>
          </w:p>
          <w:p w14:paraId="3BF38B39" w14:textId="77777777" w:rsidR="00E9289F" w:rsidRDefault="00E9289F" w:rsidP="00EC7646">
            <w:pPr>
              <w:pStyle w:val="Table2"/>
            </w:pPr>
          </w:p>
        </w:tc>
      </w:tr>
      <w:tr w:rsidR="00E9289F" w14:paraId="58301E9D" w14:textId="77777777" w:rsidTr="002D022D">
        <w:trPr>
          <w:cantSplit/>
        </w:trPr>
        <w:tc>
          <w:tcPr>
            <w:tcW w:w="2093" w:type="dxa"/>
          </w:tcPr>
          <w:p w14:paraId="4097ECE7" w14:textId="77777777" w:rsidR="00AB5C80" w:rsidRDefault="00AB5C80" w:rsidP="00EC7646">
            <w:pPr>
              <w:pStyle w:val="Table2"/>
            </w:pPr>
            <w:r>
              <w:t xml:space="preserve">Current: </w:t>
            </w:r>
            <w:r w:rsidR="00E9289F">
              <w:t>Standard 1.2.7, clause 5 and Standard 1.2.8, clause 4</w:t>
            </w:r>
          </w:p>
          <w:p w14:paraId="3581CD6B" w14:textId="25A2CF0E" w:rsidR="00E9289F" w:rsidRDefault="00AB5C80" w:rsidP="00CD4366">
            <w:pPr>
              <w:pStyle w:val="Table2"/>
              <w:ind w:left="0" w:firstLine="0"/>
            </w:pPr>
            <w:r>
              <w:t xml:space="preserve">Revised: </w:t>
            </w:r>
            <w:r w:rsidR="00CD4366">
              <w:t>Section 1.2.7—6, Section 1.2.8—3</w:t>
            </w:r>
          </w:p>
        </w:tc>
        <w:tc>
          <w:tcPr>
            <w:tcW w:w="3685" w:type="dxa"/>
          </w:tcPr>
          <w:p w14:paraId="4FB24D19" w14:textId="77777777" w:rsidR="00E9289F" w:rsidRPr="009540D7" w:rsidRDefault="00E9289F" w:rsidP="00EC7646">
            <w:pPr>
              <w:pStyle w:val="Table2"/>
            </w:pPr>
            <w:r>
              <w:t>Use of</w:t>
            </w:r>
            <w:r w:rsidRPr="006847D5">
              <w:t xml:space="preserve"> certain elements of the HSR system trigger</w:t>
            </w:r>
            <w:r>
              <w:t>s</w:t>
            </w:r>
            <w:r w:rsidRPr="006847D5">
              <w:t xml:space="preserve"> certain </w:t>
            </w:r>
            <w:r>
              <w:t xml:space="preserve">claim requirements, including additional </w:t>
            </w:r>
            <w:r w:rsidRPr="006847D5">
              <w:t>nutrition information labelling requirements</w:t>
            </w:r>
            <w:r>
              <w:t xml:space="preserve">. </w:t>
            </w:r>
          </w:p>
        </w:tc>
        <w:tc>
          <w:tcPr>
            <w:tcW w:w="3294" w:type="dxa"/>
          </w:tcPr>
          <w:p w14:paraId="59D67BD6" w14:textId="30133D1B" w:rsidR="00AA6A93" w:rsidRDefault="00E9289F" w:rsidP="00492A99">
            <w:pPr>
              <w:pStyle w:val="Table2"/>
            </w:pPr>
            <w:r>
              <w:t>An exemption</w:t>
            </w:r>
            <w:r w:rsidR="00F46513">
              <w:t xml:space="preserve"> has been </w:t>
            </w:r>
            <w:r>
              <w:t xml:space="preserve">provided for </w:t>
            </w:r>
            <w:r w:rsidRPr="006847D5">
              <w:t xml:space="preserve">the </w:t>
            </w:r>
            <w:r w:rsidR="00AA6A93">
              <w:t>HSR graphics</w:t>
            </w:r>
            <w:r w:rsidRPr="006847D5">
              <w:t xml:space="preserve">, as trademarked, from </w:t>
            </w:r>
            <w:r>
              <w:t xml:space="preserve">claim </w:t>
            </w:r>
            <w:r w:rsidRPr="006847D5">
              <w:t>requirements</w:t>
            </w:r>
            <w:r>
              <w:t xml:space="preserve"> in Standards 1.2.7 and 1.2.8</w:t>
            </w:r>
            <w:r w:rsidR="00AB5C80">
              <w:t xml:space="preserve"> (both current and revised Code)</w:t>
            </w:r>
            <w:r w:rsidR="00492A99">
              <w:t>.</w:t>
            </w:r>
          </w:p>
          <w:p w14:paraId="1DB8C4DC" w14:textId="77777777" w:rsidR="00FD0DDD" w:rsidRDefault="00FD0DDD" w:rsidP="00EC7646">
            <w:pPr>
              <w:pStyle w:val="Table2"/>
            </w:pPr>
          </w:p>
          <w:p w14:paraId="414D6A84" w14:textId="29BDEC71" w:rsidR="00FD0DDD" w:rsidRPr="00590ED0" w:rsidRDefault="00FD0DDD" w:rsidP="00FD0DDD">
            <w:pPr>
              <w:pStyle w:val="Table2"/>
              <w:rPr>
                <w:b/>
                <w:i/>
              </w:rPr>
            </w:pPr>
            <w:r w:rsidRPr="00AF368A">
              <w:rPr>
                <w:b/>
                <w:i/>
              </w:rPr>
              <w:t>Additional amendment</w:t>
            </w:r>
            <w:r w:rsidR="006F06BB">
              <w:rPr>
                <w:b/>
                <w:i/>
              </w:rPr>
              <w:t>s</w:t>
            </w:r>
            <w:r w:rsidRPr="00AF368A">
              <w:rPr>
                <w:b/>
                <w:i/>
              </w:rPr>
              <w:t xml:space="preserve"> since the </w:t>
            </w:r>
            <w:r w:rsidR="006F06BB">
              <w:rPr>
                <w:b/>
                <w:i/>
              </w:rPr>
              <w:t>c</w:t>
            </w:r>
            <w:r w:rsidRPr="00AF368A">
              <w:rPr>
                <w:b/>
                <w:i/>
              </w:rPr>
              <w:t xml:space="preserve">all for </w:t>
            </w:r>
            <w:r w:rsidR="006F06BB">
              <w:rPr>
                <w:b/>
                <w:i/>
              </w:rPr>
              <w:t>s</w:t>
            </w:r>
            <w:r w:rsidRPr="00590ED0">
              <w:rPr>
                <w:b/>
                <w:i/>
              </w:rPr>
              <w:t>ubmissions</w:t>
            </w:r>
            <w:r w:rsidR="00D53003" w:rsidRPr="00590ED0">
              <w:rPr>
                <w:b/>
                <w:i/>
              </w:rPr>
              <w:t>:</w:t>
            </w:r>
          </w:p>
          <w:p w14:paraId="122CB45D" w14:textId="17C8DEE8" w:rsidR="006F06BB" w:rsidRDefault="006F06BB" w:rsidP="006F06BB">
            <w:pPr>
              <w:pStyle w:val="Table2"/>
              <w:rPr>
                <w:i/>
              </w:rPr>
            </w:pPr>
            <w:r>
              <w:rPr>
                <w:i/>
              </w:rPr>
              <w:t>T</w:t>
            </w:r>
            <w:r w:rsidR="00590ED0" w:rsidRPr="00590ED0">
              <w:rPr>
                <w:i/>
              </w:rPr>
              <w:t>he N</w:t>
            </w:r>
            <w:r w:rsidR="0031600F">
              <w:rPr>
                <w:i/>
              </w:rPr>
              <w:t xml:space="preserve">ew </w:t>
            </w:r>
            <w:r w:rsidR="00590ED0" w:rsidRPr="00590ED0">
              <w:rPr>
                <w:i/>
              </w:rPr>
              <w:t>Z</w:t>
            </w:r>
            <w:r w:rsidR="0031600F">
              <w:rPr>
                <w:i/>
              </w:rPr>
              <w:t>ealand</w:t>
            </w:r>
            <w:r w:rsidR="00590ED0" w:rsidRPr="00590ED0">
              <w:rPr>
                <w:i/>
              </w:rPr>
              <w:t xml:space="preserve"> trademarks for the HSR system</w:t>
            </w:r>
            <w:r>
              <w:rPr>
                <w:i/>
              </w:rPr>
              <w:t xml:space="preserve"> have been included in the exemption. </w:t>
            </w:r>
          </w:p>
          <w:p w14:paraId="11BB4419" w14:textId="5D88200D" w:rsidR="00E9289F" w:rsidRPr="00786046" w:rsidRDefault="006F06BB" w:rsidP="00CD2D19">
            <w:pPr>
              <w:pStyle w:val="Table2"/>
            </w:pPr>
            <w:r>
              <w:rPr>
                <w:i/>
              </w:rPr>
              <w:t xml:space="preserve">It has been </w:t>
            </w:r>
            <w:r w:rsidR="00590ED0" w:rsidRPr="00590ED0">
              <w:rPr>
                <w:i/>
              </w:rPr>
              <w:t>clarif</w:t>
            </w:r>
            <w:r>
              <w:rPr>
                <w:i/>
              </w:rPr>
              <w:t>ied</w:t>
            </w:r>
            <w:r w:rsidR="00590ED0" w:rsidRPr="00590ED0">
              <w:rPr>
                <w:i/>
              </w:rPr>
              <w:t xml:space="preserve"> that</w:t>
            </w:r>
            <w:r w:rsidR="00590ED0">
              <w:rPr>
                <w:i/>
              </w:rPr>
              <w:t xml:space="preserve"> </w:t>
            </w:r>
            <w:r w:rsidR="005F6587" w:rsidRPr="005F6587">
              <w:rPr>
                <w:i/>
              </w:rPr>
              <w:t xml:space="preserve">the HSR images do not cease to be Permitted </w:t>
            </w:r>
            <w:r w:rsidR="00CD2D19">
              <w:rPr>
                <w:i/>
              </w:rPr>
              <w:t>HSR</w:t>
            </w:r>
            <w:r w:rsidR="005F6587" w:rsidRPr="005F6587">
              <w:rPr>
                <w:i/>
              </w:rPr>
              <w:t xml:space="preserve"> symbols if the image indicates energy or nutrient content on a per serving</w:t>
            </w:r>
            <w:r w:rsidR="005F6587">
              <w:rPr>
                <w:i/>
              </w:rPr>
              <w:t xml:space="preserve"> or per reference portion basis in addition to a ‘per pack’ basis.</w:t>
            </w:r>
          </w:p>
        </w:tc>
      </w:tr>
    </w:tbl>
    <w:p w14:paraId="040A433E" w14:textId="77777777" w:rsidR="007A53BF" w:rsidRPr="00B16201" w:rsidRDefault="007A53BF" w:rsidP="00CF6D2D">
      <w:pPr>
        <w:pStyle w:val="Heading1"/>
      </w:pPr>
      <w:bookmarkStart w:id="11" w:name="_Toc300933417"/>
      <w:bookmarkStart w:id="12" w:name="_Toc370223464"/>
      <w:bookmarkStart w:id="13" w:name="_Toc428369895"/>
      <w:bookmarkStart w:id="14" w:name="_Toc428861595"/>
      <w:r w:rsidRPr="007A53BF">
        <w:lastRenderedPageBreak/>
        <w:t>1</w:t>
      </w:r>
      <w:r w:rsidRPr="007A53BF">
        <w:tab/>
      </w:r>
      <w:r w:rsidRPr="00CF6D2D">
        <w:t>Introduction</w:t>
      </w:r>
      <w:bookmarkEnd w:id="11"/>
      <w:bookmarkEnd w:id="12"/>
      <w:bookmarkEnd w:id="13"/>
      <w:bookmarkEnd w:id="14"/>
    </w:p>
    <w:p w14:paraId="7EFC704A" w14:textId="125CE64F" w:rsidR="007A53BF" w:rsidRPr="001142C7" w:rsidRDefault="007A53BF" w:rsidP="005B06CC">
      <w:pPr>
        <w:pStyle w:val="FSCh2Part"/>
      </w:pPr>
      <w:bookmarkStart w:id="15" w:name="_Toc300761891"/>
      <w:bookmarkStart w:id="16" w:name="_Toc300933420"/>
      <w:bookmarkStart w:id="17" w:name="_Toc370223466"/>
      <w:bookmarkStart w:id="18" w:name="_Toc428369896"/>
      <w:bookmarkStart w:id="19" w:name="_Toc428861596"/>
      <w:r w:rsidRPr="001142C7">
        <w:t>1.</w:t>
      </w:r>
      <w:r w:rsidR="000D323B" w:rsidRPr="001142C7">
        <w:t>1</w:t>
      </w:r>
      <w:r w:rsidRPr="001142C7">
        <w:tab/>
        <w:t>The</w:t>
      </w:r>
      <w:bookmarkEnd w:id="15"/>
      <w:r w:rsidR="000D323B" w:rsidRPr="001142C7">
        <w:t xml:space="preserve"> P</w:t>
      </w:r>
      <w:r w:rsidRPr="001142C7">
        <w:t>roposal</w:t>
      </w:r>
      <w:bookmarkEnd w:id="16"/>
      <w:bookmarkEnd w:id="17"/>
      <w:bookmarkEnd w:id="18"/>
      <w:bookmarkEnd w:id="19"/>
    </w:p>
    <w:p w14:paraId="57F3DE5B" w14:textId="40CA8C5F" w:rsidR="000D323B" w:rsidRPr="000D323B" w:rsidRDefault="000D323B" w:rsidP="000D323B">
      <w:r w:rsidRPr="000D323B">
        <w:t>FSANZ prepared this Proposal to address some inconsistencies and lack of clarity associated with the operation of Standard 1.2.7 – Nutrition, Health and Related Claims and other related standards</w:t>
      </w:r>
      <w:r w:rsidR="00315951">
        <w:t xml:space="preserve"> </w:t>
      </w:r>
      <w:r w:rsidR="004D3026">
        <w:t>in</w:t>
      </w:r>
      <w:r w:rsidR="00315951">
        <w:t xml:space="preserve"> the current </w:t>
      </w:r>
      <w:r w:rsidR="00315951" w:rsidRPr="000D323B">
        <w:rPr>
          <w:i/>
        </w:rPr>
        <w:t>Australia New Zealand Food Standards Code</w:t>
      </w:r>
      <w:r w:rsidR="00315951" w:rsidRPr="000D323B">
        <w:t xml:space="preserve"> (Code)</w:t>
      </w:r>
      <w:r w:rsidR="00315951">
        <w:t xml:space="preserve">, (Standard 1.2.7 and Schedule 4 and other related standards </w:t>
      </w:r>
      <w:r w:rsidR="004D3026">
        <w:t>in the revised Code</w:t>
      </w:r>
      <w:r w:rsidR="00315951">
        <w:t>)</w:t>
      </w:r>
      <w:r w:rsidRPr="000D323B">
        <w:t xml:space="preserve"> </w:t>
      </w:r>
      <w:r w:rsidR="00B65830">
        <w:t xml:space="preserve">to enable Standard 1.2.7 to operate smoothly and as intended.  </w:t>
      </w:r>
    </w:p>
    <w:p w14:paraId="41A6254C" w14:textId="77777777" w:rsidR="000D323B" w:rsidRPr="000D323B" w:rsidRDefault="000D323B" w:rsidP="000D323B"/>
    <w:p w14:paraId="6BEC6876" w14:textId="36F20C95" w:rsidR="00B65830" w:rsidRPr="000D323B" w:rsidRDefault="00B65830" w:rsidP="00B65830">
      <w:r>
        <w:t>The Proposal also included consideration of an exemption for certain elements of the H</w:t>
      </w:r>
      <w:r w:rsidR="00CD2D19">
        <w:t xml:space="preserve">ealth </w:t>
      </w:r>
      <w:r>
        <w:t>S</w:t>
      </w:r>
      <w:r w:rsidR="00CD2D19">
        <w:t xml:space="preserve">tar </w:t>
      </w:r>
      <w:r>
        <w:t>R</w:t>
      </w:r>
      <w:r w:rsidR="00CD2D19">
        <w:t>ating</w:t>
      </w:r>
      <w:r>
        <w:t xml:space="preserve"> </w:t>
      </w:r>
      <w:r w:rsidR="00182B32">
        <w:t xml:space="preserve">(HSR) </w:t>
      </w:r>
      <w:r>
        <w:t>system from the requirements for claims in the Code (including additional nutrition information labelling).</w:t>
      </w:r>
    </w:p>
    <w:p w14:paraId="28CDEC5D" w14:textId="43349FFE" w:rsidR="007A53BF" w:rsidRPr="007A53BF" w:rsidRDefault="007A53BF" w:rsidP="005B06CC">
      <w:pPr>
        <w:pStyle w:val="FSCh2Part"/>
      </w:pPr>
      <w:bookmarkStart w:id="20" w:name="_Toc300761892"/>
      <w:bookmarkStart w:id="21" w:name="_Toc300933421"/>
      <w:bookmarkStart w:id="22" w:name="_Toc370223467"/>
      <w:bookmarkStart w:id="23" w:name="_Toc428369897"/>
      <w:bookmarkStart w:id="24" w:name="_Toc428861597"/>
      <w:r w:rsidRPr="007A53BF">
        <w:t>1.</w:t>
      </w:r>
      <w:r w:rsidR="000D323B">
        <w:t>2</w:t>
      </w:r>
      <w:r w:rsidRPr="007A53BF">
        <w:tab/>
        <w:t>The current Standard</w:t>
      </w:r>
      <w:bookmarkEnd w:id="20"/>
      <w:bookmarkEnd w:id="21"/>
      <w:bookmarkEnd w:id="22"/>
      <w:bookmarkEnd w:id="23"/>
      <w:bookmarkEnd w:id="24"/>
    </w:p>
    <w:p w14:paraId="507764DE" w14:textId="4A760CE5" w:rsidR="000D323B" w:rsidRPr="000D323B" w:rsidRDefault="000D323B" w:rsidP="000D323B">
      <w:r w:rsidRPr="000D323B">
        <w:t>Standard 1.2.7</w:t>
      </w:r>
      <w:r w:rsidR="00257997">
        <w:t xml:space="preserve"> </w:t>
      </w:r>
      <w:r w:rsidR="004D3026">
        <w:t>in the current Code</w:t>
      </w:r>
      <w:r w:rsidR="00257997">
        <w:t xml:space="preserve"> (Standard 1.2.7 and Schedule 4 </w:t>
      </w:r>
      <w:r w:rsidR="004D3026">
        <w:t>in the revised Code</w:t>
      </w:r>
      <w:r w:rsidR="00257997">
        <w:t>)</w:t>
      </w:r>
      <w:r w:rsidRPr="000D323B">
        <w:t xml:space="preserve"> sets out the claims that can be made on labels or in advertisements about the nutritional content of food (described as nutrition content claims) or the r</w:t>
      </w:r>
      <w:r w:rsidR="0031600F">
        <w:t xml:space="preserve">elationship between a food or </w:t>
      </w:r>
      <w:r w:rsidRPr="000D323B">
        <w:t>property of food and a health effect (described as health claims). The Standard describes the conditions under which such claims can be made. Standard 1.2.7 was developed under Proposal P293 – Nutrition, Health &amp; Related Claims. It was gazetted in January 2013 and will take full effect when the transition period ends in January 2016.</w:t>
      </w:r>
    </w:p>
    <w:p w14:paraId="0F6572CA" w14:textId="77777777" w:rsidR="000D323B" w:rsidRPr="000D323B" w:rsidRDefault="000D323B" w:rsidP="000D323B"/>
    <w:p w14:paraId="675E6194" w14:textId="37B722C0" w:rsidR="000D323B" w:rsidRDefault="000D323B" w:rsidP="008E0C66">
      <w:pPr>
        <w:autoSpaceDE w:val="0"/>
      </w:pPr>
      <w:r w:rsidRPr="000D323B">
        <w:t>Standard 1.2.8 – Nutrition Information Requirements</w:t>
      </w:r>
      <w:r w:rsidR="00257997">
        <w:t xml:space="preserve"> </w:t>
      </w:r>
      <w:r w:rsidR="004D3026">
        <w:t>in the current Code</w:t>
      </w:r>
      <w:r w:rsidR="00A6394E">
        <w:t xml:space="preserve"> (Standard 1.2.8 and Schedules 11, 12 and 13</w:t>
      </w:r>
      <w:r w:rsidR="00257997">
        <w:t xml:space="preserve"> </w:t>
      </w:r>
      <w:r w:rsidR="004D3026">
        <w:t>in the revised Code</w:t>
      </w:r>
      <w:r w:rsidR="00A6394E">
        <w:t>)</w:t>
      </w:r>
      <w:r w:rsidR="00257997">
        <w:t>,</w:t>
      </w:r>
      <w:r w:rsidRPr="000D323B">
        <w:t xml:space="preserve"> includes requirements for the declaration of specified nutrition information when certain nutrition content claims and health claims are made. It includes the requirements for nutrition labelling of small packages</w:t>
      </w:r>
      <w:r w:rsidR="00143DBA">
        <w:rPr>
          <w:rFonts w:ascii="ZWAdobeF" w:hAnsi="ZWAdobeF" w:cs="ZWAdobeF"/>
          <w:sz w:val="2"/>
          <w:szCs w:val="2"/>
        </w:rPr>
        <w:t>2F</w:t>
      </w:r>
      <w:r w:rsidR="008E0C66">
        <w:rPr>
          <w:rFonts w:ascii="ZWAdobeF" w:hAnsi="ZWAdobeF" w:cs="ZWAdobeF"/>
          <w:sz w:val="2"/>
          <w:szCs w:val="2"/>
        </w:rPr>
        <w:t>2F</w:t>
      </w:r>
      <w:r>
        <w:rPr>
          <w:rStyle w:val="FootnoteReference"/>
        </w:rPr>
        <w:footnoteReference w:id="4"/>
      </w:r>
      <w:r w:rsidRPr="000D323B">
        <w:t xml:space="preserve"> when nutrition content claims or health claims are made about food in a small package. </w:t>
      </w:r>
    </w:p>
    <w:p w14:paraId="0E7FBCBF" w14:textId="77777777" w:rsidR="00B65830" w:rsidRPr="00B65830" w:rsidRDefault="00B65830" w:rsidP="005B06CC">
      <w:pPr>
        <w:pStyle w:val="FSCh2Part"/>
      </w:pPr>
      <w:bookmarkStart w:id="25" w:name="_Toc420052978"/>
      <w:bookmarkStart w:id="26" w:name="_Toc428369898"/>
      <w:bookmarkStart w:id="27" w:name="_Toc428861598"/>
      <w:r w:rsidRPr="00B65830">
        <w:t>1.3</w:t>
      </w:r>
      <w:r w:rsidRPr="00B65830">
        <w:tab/>
        <w:t>Health Star Rating system</w:t>
      </w:r>
      <w:bookmarkEnd w:id="25"/>
      <w:bookmarkEnd w:id="26"/>
      <w:bookmarkEnd w:id="27"/>
      <w:r w:rsidRPr="00B65830">
        <w:t xml:space="preserve"> </w:t>
      </w:r>
    </w:p>
    <w:p w14:paraId="5578B304" w14:textId="5AD8A5FD" w:rsidR="00B65830" w:rsidRPr="00B65830" w:rsidRDefault="00B65830" w:rsidP="00B65830">
      <w:r w:rsidRPr="00B65830">
        <w:rPr>
          <w:rFonts w:cs="Arial"/>
          <w:szCs w:val="22"/>
        </w:rPr>
        <w:t>In June 2014, the Australia and New Zealand Ministerial Forum on Food Regulation</w:t>
      </w:r>
      <w:r w:rsidR="0031600F">
        <w:rPr>
          <w:rFonts w:cs="Arial"/>
          <w:szCs w:val="22"/>
        </w:rPr>
        <w:t xml:space="preserve"> (Forum) </w:t>
      </w:r>
      <w:r w:rsidRPr="00B65830">
        <w:rPr>
          <w:rFonts w:cs="Arial"/>
          <w:szCs w:val="22"/>
        </w:rPr>
        <w:t>launched a voluntary front-of-pack labelling scheme known as the H</w:t>
      </w:r>
      <w:r w:rsidR="00CD2D19">
        <w:rPr>
          <w:rFonts w:cs="Arial"/>
          <w:szCs w:val="22"/>
        </w:rPr>
        <w:t>S</w:t>
      </w:r>
      <w:r w:rsidRPr="00B65830">
        <w:rPr>
          <w:rFonts w:cs="Arial"/>
          <w:szCs w:val="22"/>
        </w:rPr>
        <w:t xml:space="preserve">R system. </w:t>
      </w:r>
    </w:p>
    <w:p w14:paraId="1278932C" w14:textId="77777777" w:rsidR="00B65830" w:rsidRPr="00B65830" w:rsidRDefault="00B65830" w:rsidP="00B65830"/>
    <w:p w14:paraId="36B2B5FC" w14:textId="12AB8D75" w:rsidR="00B65830" w:rsidRPr="00B65830" w:rsidRDefault="00B65830" w:rsidP="008E0C66">
      <w:pPr>
        <w:autoSpaceDE w:val="0"/>
        <w:rPr>
          <w:lang w:bidi="ar-SA"/>
        </w:rPr>
      </w:pPr>
      <w:r w:rsidRPr="00B65830">
        <w:t xml:space="preserve">The HSR system was developed by the Australian, state and territory governments in collaboration with industry, public health and consumer groups. </w:t>
      </w:r>
      <w:r w:rsidRPr="00B65830">
        <w:rPr>
          <w:rFonts w:cs="Arial"/>
          <w:szCs w:val="22"/>
        </w:rPr>
        <w:t xml:space="preserve">The HSR system provides an at-a-glance overall rating of the healthiness of the food (reflected as a star rating), as well as specific nutrient and energy information. </w:t>
      </w:r>
      <w:r w:rsidRPr="00B65830">
        <w:rPr>
          <w:lang w:bidi="ar-SA"/>
        </w:rPr>
        <w:t xml:space="preserve">Ten different star ratings are able to be displayed for foods, ranging from a half star (least healthy) to five stars (most healthy). The Health Star Rating Advisory Committee has published a HSR </w:t>
      </w:r>
      <w:r w:rsidR="008C7732">
        <w:rPr>
          <w:lang w:bidi="ar-SA"/>
        </w:rPr>
        <w:t>s</w:t>
      </w:r>
      <w:r w:rsidRPr="00B65830">
        <w:rPr>
          <w:lang w:bidi="ar-SA"/>
        </w:rPr>
        <w:t>ystem Style Guide, which provides further detail about the principles of use for this voluntary system</w:t>
      </w:r>
      <w:r w:rsidR="00143DBA">
        <w:rPr>
          <w:rFonts w:ascii="ZWAdobeF" w:hAnsi="ZWAdobeF" w:cs="ZWAdobeF"/>
          <w:sz w:val="2"/>
          <w:szCs w:val="2"/>
          <w:lang w:bidi="ar-SA"/>
        </w:rPr>
        <w:t>3F</w:t>
      </w:r>
      <w:r w:rsidR="008E0C66">
        <w:rPr>
          <w:rFonts w:ascii="ZWAdobeF" w:hAnsi="ZWAdobeF" w:cs="ZWAdobeF"/>
          <w:sz w:val="2"/>
          <w:szCs w:val="2"/>
          <w:lang w:bidi="ar-SA"/>
        </w:rPr>
        <w:t>3F</w:t>
      </w:r>
      <w:r w:rsidRPr="00B65830">
        <w:rPr>
          <w:vertAlign w:val="superscript"/>
          <w:lang w:bidi="ar-SA"/>
        </w:rPr>
        <w:footnoteReference w:id="5"/>
      </w:r>
      <w:r w:rsidRPr="00B65830">
        <w:rPr>
          <w:lang w:bidi="ar-SA"/>
        </w:rPr>
        <w:t>.</w:t>
      </w:r>
    </w:p>
    <w:p w14:paraId="00FC4477" w14:textId="77777777" w:rsidR="00B65830" w:rsidRPr="00B65830" w:rsidRDefault="00B65830" w:rsidP="00B65830">
      <w:pPr>
        <w:rPr>
          <w:lang w:bidi="ar-SA"/>
        </w:rPr>
      </w:pPr>
    </w:p>
    <w:p w14:paraId="68DB3A62" w14:textId="77777777" w:rsidR="00B65830" w:rsidRPr="00B65830" w:rsidRDefault="00B65830" w:rsidP="00B65830">
      <w:pPr>
        <w:rPr>
          <w:rFonts w:cs="Arial"/>
          <w:szCs w:val="22"/>
        </w:rPr>
      </w:pPr>
      <w:r w:rsidRPr="00B65830">
        <w:rPr>
          <w:rFonts w:cs="Arial"/>
          <w:szCs w:val="22"/>
        </w:rPr>
        <w:t>In summary, the HSR system graphic comprises three labelling elements:</w:t>
      </w:r>
    </w:p>
    <w:p w14:paraId="3D5BA170" w14:textId="77777777" w:rsidR="00B65830" w:rsidRPr="00B65830" w:rsidRDefault="00B65830" w:rsidP="00B65830">
      <w:pPr>
        <w:rPr>
          <w:rFonts w:cs="Arial"/>
          <w:szCs w:val="22"/>
        </w:rPr>
      </w:pPr>
    </w:p>
    <w:p w14:paraId="7F4D10D6" w14:textId="77777777" w:rsidR="00B65830" w:rsidRDefault="00B65830" w:rsidP="002F070F">
      <w:pPr>
        <w:numPr>
          <w:ilvl w:val="0"/>
          <w:numId w:val="5"/>
        </w:numPr>
        <w:ind w:left="567" w:hanging="567"/>
        <w:contextualSpacing/>
        <w:rPr>
          <w:lang w:bidi="ar-SA"/>
        </w:rPr>
      </w:pPr>
      <w:r w:rsidRPr="00B65830">
        <w:rPr>
          <w:lang w:bidi="ar-SA"/>
        </w:rPr>
        <w:t>A star rating, which is an overall evaluation of the food based on its nutrient profile, presented as a star rating graphic and numeric.</w:t>
      </w:r>
    </w:p>
    <w:p w14:paraId="3405DF28" w14:textId="4A7CDD8D" w:rsidR="004D3026" w:rsidRDefault="004D3026" w:rsidP="00016B73">
      <w:pPr>
        <w:ind w:left="567"/>
        <w:contextualSpacing/>
        <w:rPr>
          <w:lang w:bidi="ar-SA"/>
        </w:rPr>
      </w:pPr>
      <w:r>
        <w:rPr>
          <w:lang w:bidi="ar-SA"/>
        </w:rPr>
        <w:br w:type="page"/>
      </w:r>
    </w:p>
    <w:p w14:paraId="5F357897" w14:textId="50B922DF" w:rsidR="00244AF8" w:rsidRDefault="00B65830" w:rsidP="00AF368A">
      <w:pPr>
        <w:numPr>
          <w:ilvl w:val="0"/>
          <w:numId w:val="6"/>
        </w:numPr>
        <w:ind w:left="567" w:hanging="567"/>
        <w:contextualSpacing/>
        <w:rPr>
          <w:lang w:bidi="ar-SA"/>
        </w:rPr>
      </w:pPr>
      <w:r w:rsidRPr="00B65830">
        <w:rPr>
          <w:lang w:bidi="ar-SA"/>
        </w:rPr>
        <w:lastRenderedPageBreak/>
        <w:t>An energy icon, in which the energy content of the food is declared</w:t>
      </w:r>
      <w:r w:rsidR="00AF368A">
        <w:rPr>
          <w:lang w:bidi="ar-SA"/>
        </w:rPr>
        <w:t xml:space="preserve"> per nominated reference measure</w:t>
      </w:r>
      <w:r w:rsidR="00D53003">
        <w:rPr>
          <w:lang w:bidi="ar-SA"/>
        </w:rPr>
        <w:t xml:space="preserve">. </w:t>
      </w:r>
    </w:p>
    <w:p w14:paraId="4A44E95B" w14:textId="77777777" w:rsidR="0031600F" w:rsidRDefault="0031600F" w:rsidP="0031600F">
      <w:pPr>
        <w:ind w:left="567"/>
        <w:contextualSpacing/>
        <w:rPr>
          <w:lang w:bidi="ar-SA"/>
        </w:rPr>
      </w:pPr>
    </w:p>
    <w:p w14:paraId="21600F53" w14:textId="535B2285" w:rsidR="00B65830" w:rsidRPr="00B65830" w:rsidRDefault="00B65830" w:rsidP="002F070F">
      <w:pPr>
        <w:numPr>
          <w:ilvl w:val="0"/>
          <w:numId w:val="6"/>
        </w:numPr>
        <w:ind w:left="567" w:hanging="567"/>
        <w:contextualSpacing/>
        <w:rPr>
          <w:lang w:bidi="ar-SA"/>
        </w:rPr>
      </w:pPr>
      <w:r w:rsidRPr="00B65830">
        <w:rPr>
          <w:lang w:bidi="ar-SA"/>
        </w:rPr>
        <w:t>Individual icons indicating the average quantity of the prescribed nutrients (as prescribed by the HSR system) sodium, saturated fat and total sugars (referred to as ‘sugars’)</w:t>
      </w:r>
      <w:r w:rsidR="00AF368A">
        <w:rPr>
          <w:lang w:bidi="ar-SA"/>
        </w:rPr>
        <w:t xml:space="preserve"> per nominated reference measure</w:t>
      </w:r>
      <w:r w:rsidRPr="00B65830">
        <w:rPr>
          <w:lang w:bidi="ar-SA"/>
        </w:rPr>
        <w:t xml:space="preserve">. A ‘positive’ nutrient icon may also be included, for example, a nutrient icon for dietary fibre, protein or certain vitamins and minerals. </w:t>
      </w:r>
    </w:p>
    <w:p w14:paraId="7D38AE27" w14:textId="77777777" w:rsidR="00B65830" w:rsidRPr="00B65830" w:rsidRDefault="00B65830" w:rsidP="00B65830">
      <w:pPr>
        <w:rPr>
          <w:rFonts w:cs="Arial"/>
          <w:szCs w:val="22"/>
        </w:rPr>
      </w:pPr>
    </w:p>
    <w:p w14:paraId="25F06DD1" w14:textId="77777777" w:rsidR="0052767E" w:rsidRDefault="00590ED0" w:rsidP="00B65830">
      <w:pPr>
        <w:rPr>
          <w:rFonts w:cs="Arial"/>
          <w:szCs w:val="22"/>
        </w:rPr>
      </w:pPr>
      <w:r>
        <w:rPr>
          <w:rFonts w:cs="Arial"/>
          <w:szCs w:val="22"/>
        </w:rPr>
        <w:t>Under the HSR system, t</w:t>
      </w:r>
      <w:r w:rsidR="00D53003">
        <w:rPr>
          <w:rFonts w:cs="Arial"/>
          <w:szCs w:val="22"/>
        </w:rPr>
        <w:t>he nominated reference measure</w:t>
      </w:r>
      <w:r w:rsidR="0052775C">
        <w:rPr>
          <w:rFonts w:cs="Arial"/>
          <w:szCs w:val="22"/>
        </w:rPr>
        <w:t xml:space="preserve"> is either</w:t>
      </w:r>
      <w:r w:rsidR="0052767E">
        <w:rPr>
          <w:rFonts w:cs="Arial"/>
          <w:szCs w:val="22"/>
        </w:rPr>
        <w:t>:</w:t>
      </w:r>
    </w:p>
    <w:p w14:paraId="21641817" w14:textId="77777777" w:rsidR="0052767E" w:rsidRDefault="0052767E" w:rsidP="00B65830">
      <w:pPr>
        <w:rPr>
          <w:rFonts w:cs="Arial"/>
          <w:szCs w:val="22"/>
        </w:rPr>
      </w:pPr>
    </w:p>
    <w:p w14:paraId="53EFCB10" w14:textId="2164039F" w:rsidR="0052767E" w:rsidRDefault="00D53003" w:rsidP="004D3026">
      <w:pPr>
        <w:pStyle w:val="FSBullet1"/>
      </w:pPr>
      <w:r w:rsidRPr="0052767E">
        <w:t>‘per 100 g or 100 mL’</w:t>
      </w:r>
      <w:r w:rsidR="00244AF8">
        <w:t>;</w:t>
      </w:r>
      <w:r w:rsidRPr="0052767E">
        <w:t xml:space="preserve"> or </w:t>
      </w:r>
    </w:p>
    <w:p w14:paraId="177446C0" w14:textId="14EB9F5D" w:rsidR="0052767E" w:rsidRDefault="00D53003" w:rsidP="004D3026">
      <w:pPr>
        <w:pStyle w:val="FSBullet1"/>
      </w:pPr>
      <w:r w:rsidRPr="0052767E">
        <w:t>‘per pack’ when the food is presented as a single portion</w:t>
      </w:r>
      <w:r w:rsidR="00244AF8">
        <w:t>;</w:t>
      </w:r>
      <w:r w:rsidRPr="0052767E">
        <w:t xml:space="preserve"> or </w:t>
      </w:r>
    </w:p>
    <w:p w14:paraId="1CEA4FAF" w14:textId="2E4D79E5" w:rsidR="0052767E" w:rsidRDefault="00D53003" w:rsidP="004D3026">
      <w:pPr>
        <w:pStyle w:val="FSBullet1"/>
      </w:pPr>
      <w:r w:rsidRPr="0052767E">
        <w:t>‘per [reference portion]’ when presented as a multipack with individual pre-portioned units intended for consumption in a single sitting</w:t>
      </w:r>
      <w:r w:rsidR="00244AF8">
        <w:t>;</w:t>
      </w:r>
      <w:r w:rsidRPr="0052767E">
        <w:t xml:space="preserve"> or </w:t>
      </w:r>
    </w:p>
    <w:p w14:paraId="3EC1A5AA" w14:textId="63FFB70D" w:rsidR="00D53003" w:rsidRPr="0052767E" w:rsidRDefault="00D53003" w:rsidP="004D3026">
      <w:pPr>
        <w:pStyle w:val="FSBullet1"/>
      </w:pPr>
      <w:r w:rsidRPr="0052767E">
        <w:t>‘per [serve size]’ for products for which an industry agreed standardised serve size applies.</w:t>
      </w:r>
    </w:p>
    <w:p w14:paraId="79E170A0" w14:textId="77777777" w:rsidR="00D53003" w:rsidRDefault="00D53003" w:rsidP="00B65830">
      <w:pPr>
        <w:rPr>
          <w:rFonts w:cs="Arial"/>
          <w:szCs w:val="22"/>
        </w:rPr>
      </w:pPr>
    </w:p>
    <w:p w14:paraId="027E078E" w14:textId="69701FF4" w:rsidR="00B65830" w:rsidRPr="00B65830" w:rsidRDefault="00B65830" w:rsidP="008E0C66">
      <w:pPr>
        <w:autoSpaceDE w:val="0"/>
        <w:rPr>
          <w:rFonts w:cs="Arial"/>
          <w:szCs w:val="22"/>
        </w:rPr>
      </w:pPr>
      <w:r w:rsidRPr="00B65830">
        <w:rPr>
          <w:rFonts w:cs="Arial"/>
          <w:szCs w:val="22"/>
        </w:rPr>
        <w:t>The use of the descriptors ‘low’ and ‘high’ may be used within the nutrient icons (except for the energy icon) to highlight the amount of individual nutrients in the food product</w:t>
      </w:r>
      <w:r w:rsidR="00143DBA">
        <w:rPr>
          <w:rFonts w:ascii="ZWAdobeF" w:hAnsi="ZWAdobeF" w:cs="ZWAdobeF"/>
          <w:sz w:val="2"/>
          <w:szCs w:val="2"/>
        </w:rPr>
        <w:t>4F</w:t>
      </w:r>
      <w:r w:rsidR="008E0C66">
        <w:rPr>
          <w:rFonts w:ascii="ZWAdobeF" w:hAnsi="ZWAdobeF" w:cs="ZWAdobeF"/>
          <w:sz w:val="2"/>
          <w:szCs w:val="2"/>
        </w:rPr>
        <w:t>4F</w:t>
      </w:r>
      <w:r w:rsidR="00AA6A93">
        <w:rPr>
          <w:rStyle w:val="FootnoteReference"/>
          <w:rFonts w:cs="Arial"/>
          <w:szCs w:val="22"/>
        </w:rPr>
        <w:footnoteReference w:id="6"/>
      </w:r>
      <w:r w:rsidRPr="00B65830">
        <w:rPr>
          <w:rFonts w:cs="Arial"/>
          <w:szCs w:val="22"/>
        </w:rPr>
        <w:t xml:space="preserve">. The ‘low’ descriptor may be used for the nutrient icons saturated fat, sodium, and sugars and the ‘high’ descriptor may be used in relation to the ‘positive’ nutrient icon. Percentage daily intake (%DI) information about energy can also be included in some circumstances. </w:t>
      </w:r>
    </w:p>
    <w:p w14:paraId="37F48FF4" w14:textId="77777777" w:rsidR="00B65830" w:rsidRPr="00B65830" w:rsidRDefault="00B65830" w:rsidP="00B65830">
      <w:pPr>
        <w:rPr>
          <w:rFonts w:cs="Arial"/>
          <w:szCs w:val="22"/>
        </w:rPr>
      </w:pPr>
    </w:p>
    <w:p w14:paraId="68C952F0" w14:textId="1DFDF9B8" w:rsidR="00B65830" w:rsidRPr="000D323B" w:rsidRDefault="00B65830" w:rsidP="000D323B">
      <w:r w:rsidRPr="00B65830">
        <w:rPr>
          <w:rFonts w:cs="Arial"/>
          <w:szCs w:val="22"/>
        </w:rPr>
        <w:t>Certain elements of the HSR system have been trademarked. For further information about the trademarks, refer to S</w:t>
      </w:r>
      <w:r w:rsidR="00244AF8">
        <w:rPr>
          <w:rFonts w:cs="Arial"/>
          <w:szCs w:val="22"/>
        </w:rPr>
        <w:t>D</w:t>
      </w:r>
      <w:r w:rsidRPr="00B65830">
        <w:rPr>
          <w:rFonts w:cs="Arial"/>
          <w:szCs w:val="22"/>
        </w:rPr>
        <w:t xml:space="preserve">1. </w:t>
      </w:r>
    </w:p>
    <w:p w14:paraId="07757FAD" w14:textId="1D2ACF5A" w:rsidR="007A53BF" w:rsidRPr="007A53BF" w:rsidRDefault="007A53BF" w:rsidP="005B06CC">
      <w:pPr>
        <w:pStyle w:val="FSCh2Part"/>
      </w:pPr>
      <w:bookmarkStart w:id="28" w:name="_Toc370223469"/>
      <w:bookmarkStart w:id="29" w:name="_Toc428369899"/>
      <w:bookmarkStart w:id="30" w:name="_Toc428861599"/>
      <w:r w:rsidRPr="007A53BF">
        <w:t>1.</w:t>
      </w:r>
      <w:r w:rsidR="00B65830">
        <w:t>4</w:t>
      </w:r>
      <w:r w:rsidRPr="007A53BF">
        <w:tab/>
        <w:t>Procedure for assessment</w:t>
      </w:r>
      <w:bookmarkEnd w:id="28"/>
      <w:bookmarkEnd w:id="29"/>
      <w:bookmarkEnd w:id="30"/>
    </w:p>
    <w:p w14:paraId="41AFD575" w14:textId="5D6481F5" w:rsidR="00AF397D" w:rsidRPr="00B65830" w:rsidRDefault="00AF397D" w:rsidP="00AF397D">
      <w:r w:rsidRPr="00B65830">
        <w:t>The Proposal was assessed under the General Procedure.</w:t>
      </w:r>
    </w:p>
    <w:p w14:paraId="119CB988" w14:textId="49FB1716" w:rsidR="00422EC9" w:rsidRDefault="007A53BF" w:rsidP="005B06CC">
      <w:pPr>
        <w:pStyle w:val="FSCh2Part"/>
      </w:pPr>
      <w:bookmarkStart w:id="31" w:name="_Toc428369900"/>
      <w:bookmarkStart w:id="32" w:name="_Toc428861600"/>
      <w:r>
        <w:t>1</w:t>
      </w:r>
      <w:r w:rsidR="00422EC9">
        <w:t>.</w:t>
      </w:r>
      <w:r w:rsidR="00B65830">
        <w:t>5</w:t>
      </w:r>
      <w:r w:rsidR="00422EC9">
        <w:tab/>
      </w:r>
      <w:r w:rsidR="00422EC9" w:rsidRPr="00932F14">
        <w:t>Decision</w:t>
      </w:r>
      <w:bookmarkEnd w:id="31"/>
      <w:bookmarkEnd w:id="32"/>
    </w:p>
    <w:p w14:paraId="44864995" w14:textId="2F745F49" w:rsidR="002C1A3B" w:rsidRPr="00AF368A" w:rsidRDefault="00422EC9" w:rsidP="002C1A3B">
      <w:r>
        <w:t xml:space="preserve">The </w:t>
      </w:r>
      <w:r w:rsidRPr="003D609A">
        <w:rPr>
          <w:color w:val="000000" w:themeColor="text1"/>
        </w:rPr>
        <w:t xml:space="preserve">draft </w:t>
      </w:r>
      <w:r w:rsidR="00E30092" w:rsidRPr="006F06BB">
        <w:rPr>
          <w:color w:val="000000" w:themeColor="text1"/>
        </w:rPr>
        <w:t xml:space="preserve">variation </w:t>
      </w:r>
      <w:r w:rsidRPr="006F06BB">
        <w:t xml:space="preserve">as proposed following assessment was approved </w:t>
      </w:r>
      <w:r w:rsidR="005E58D3" w:rsidRPr="006F06BB">
        <w:t>with amendments</w:t>
      </w:r>
      <w:r w:rsidRPr="006F06BB">
        <w:t>.</w:t>
      </w:r>
      <w:r w:rsidR="002C1A3B" w:rsidRPr="006F06BB">
        <w:t xml:space="preserve"> The variation takes effect on</w:t>
      </w:r>
      <w:r w:rsidR="00AF368A" w:rsidRPr="006F06BB">
        <w:t xml:space="preserve"> the date of gazettal</w:t>
      </w:r>
      <w:r w:rsidR="002C1A3B" w:rsidRPr="006F06BB">
        <w:t>.</w:t>
      </w:r>
      <w:r w:rsidR="00AF368A" w:rsidRPr="006F06BB">
        <w:t xml:space="preserve"> </w:t>
      </w:r>
      <w:r w:rsidR="006F06BB" w:rsidRPr="006F06BB">
        <w:t>A transition period followed by a 12</w:t>
      </w:r>
      <w:r w:rsidR="00244AF8">
        <w:t>-</w:t>
      </w:r>
      <w:r w:rsidR="006F06BB" w:rsidRPr="006F06BB">
        <w:t xml:space="preserve">month </w:t>
      </w:r>
      <w:r w:rsidR="00F150B5">
        <w:t xml:space="preserve">stock-in-trade </w:t>
      </w:r>
      <w:r w:rsidR="006F06BB" w:rsidRPr="004456A2">
        <w:t>exemption</w:t>
      </w:r>
      <w:r w:rsidR="006F06BB" w:rsidRPr="006F06BB">
        <w:t xml:space="preserve"> has been provided for the </w:t>
      </w:r>
      <w:r w:rsidR="0031600F">
        <w:t xml:space="preserve">amendments </w:t>
      </w:r>
      <w:r w:rsidR="006F06BB" w:rsidRPr="006F06BB">
        <w:t xml:space="preserve">(excluding those relating to exemption of the trademarked HSR label elements), due to submitter concerns that labels may need to change as a result of </w:t>
      </w:r>
      <w:r w:rsidR="00606FA0">
        <w:t xml:space="preserve">amendments made to the Code by this Proposal. </w:t>
      </w:r>
      <w:r w:rsidR="006F06BB" w:rsidRPr="006F06BB">
        <w:t xml:space="preserve"> </w:t>
      </w:r>
    </w:p>
    <w:p w14:paraId="6EC1B54A" w14:textId="77777777" w:rsidR="00422EC9" w:rsidRDefault="00422EC9" w:rsidP="00422EC9"/>
    <w:p w14:paraId="1854C1C2" w14:textId="7E88BA84" w:rsidR="00401ADE" w:rsidRDefault="00422EC9" w:rsidP="002C1A3B">
      <w:r>
        <w:t xml:space="preserve">The </w:t>
      </w:r>
      <w:r w:rsidR="002C1A3B">
        <w:t xml:space="preserve">approved </w:t>
      </w:r>
      <w:r w:rsidRPr="00B65830">
        <w:t xml:space="preserve">draft </w:t>
      </w:r>
      <w:r w:rsidR="00E30092" w:rsidRPr="009013F9">
        <w:rPr>
          <w:color w:val="000000" w:themeColor="text1"/>
        </w:rPr>
        <w:t>variation</w:t>
      </w:r>
      <w:r w:rsidR="00244AF8">
        <w:rPr>
          <w:color w:val="000000" w:themeColor="text1"/>
        </w:rPr>
        <w:t xml:space="preserve"> to the current Code</w:t>
      </w:r>
      <w:r w:rsidRPr="009013F9">
        <w:rPr>
          <w:color w:val="000000" w:themeColor="text1"/>
        </w:rPr>
        <w:t xml:space="preserve">, as varied after </w:t>
      </w:r>
      <w:r w:rsidR="007A53BF" w:rsidRPr="009013F9">
        <w:rPr>
          <w:color w:val="000000" w:themeColor="text1"/>
        </w:rPr>
        <w:t xml:space="preserve">consideration of </w:t>
      </w:r>
      <w:r w:rsidRPr="009013F9">
        <w:rPr>
          <w:color w:val="000000" w:themeColor="text1"/>
        </w:rPr>
        <w:t xml:space="preserve">submissions, </w:t>
      </w:r>
      <w:r w:rsidR="00401ADE" w:rsidRPr="009013F9">
        <w:rPr>
          <w:color w:val="000000" w:themeColor="text1"/>
        </w:rPr>
        <w:t xml:space="preserve">and related </w:t>
      </w:r>
      <w:r w:rsidR="00401ADE">
        <w:t>explanatory statement are</w:t>
      </w:r>
      <w:r>
        <w:t xml:space="preserve"> at </w:t>
      </w:r>
      <w:r w:rsidRPr="007C22CB">
        <w:t xml:space="preserve">Attachment A. </w:t>
      </w:r>
    </w:p>
    <w:p w14:paraId="0699FC48" w14:textId="77777777" w:rsidR="00401ADE" w:rsidRDefault="00401ADE" w:rsidP="00401ADE"/>
    <w:p w14:paraId="5C701099" w14:textId="2D4DEF2C" w:rsidR="00401ADE" w:rsidRPr="005358B0" w:rsidRDefault="00173D10" w:rsidP="00401ADE">
      <w:r w:rsidRPr="00173D10">
        <w:t xml:space="preserve">A revision of the Code via Proposal P1025 – Code Revision, will replace the </w:t>
      </w:r>
      <w:r w:rsidR="000A2D3F">
        <w:t>current</w:t>
      </w:r>
      <w:r w:rsidRPr="00173D10">
        <w:t xml:space="preserve"> Code on 1 March 2016. </w:t>
      </w:r>
      <w:r w:rsidR="00401ADE">
        <w:t xml:space="preserve">The </w:t>
      </w:r>
      <w:r w:rsidR="00401ADE" w:rsidRPr="00B65830">
        <w:t xml:space="preserve">draft </w:t>
      </w:r>
      <w:r w:rsidR="00401ADE" w:rsidRPr="004D3396">
        <w:t xml:space="preserve">variation to the </w:t>
      </w:r>
      <w:r w:rsidR="00401ADE" w:rsidRPr="004D3396">
        <w:rPr>
          <w:color w:val="000000" w:themeColor="text1"/>
        </w:rPr>
        <w:t xml:space="preserve">revised Code, as varied after consideration of submissions, </w:t>
      </w:r>
      <w:r w:rsidR="00401ADE" w:rsidRPr="004D3396">
        <w:t>and related explanatory statement are at Attachment B. The variation take</w:t>
      </w:r>
      <w:r w:rsidR="004D3396" w:rsidRPr="004D3396">
        <w:t>s</w:t>
      </w:r>
      <w:r w:rsidR="00401ADE" w:rsidRPr="004D3396">
        <w:t xml:space="preserve"> effect on 1 March 2016.</w:t>
      </w:r>
    </w:p>
    <w:p w14:paraId="5239B17F" w14:textId="77777777" w:rsidR="00401ADE" w:rsidRDefault="00401ADE" w:rsidP="002C1A3B"/>
    <w:p w14:paraId="0A5B2EE8" w14:textId="77777777" w:rsidR="002C1A3B" w:rsidRDefault="002C1A3B" w:rsidP="002C1A3B">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14:paraId="67231E9F" w14:textId="77777777" w:rsidR="002C1A3B" w:rsidRPr="00D26814" w:rsidRDefault="002C1A3B" w:rsidP="002C1A3B">
      <w:pPr>
        <w:rPr>
          <w:u w:val="single"/>
        </w:rPr>
      </w:pPr>
    </w:p>
    <w:p w14:paraId="50A1612B" w14:textId="77777777" w:rsidR="004D3026" w:rsidRDefault="004D3026" w:rsidP="00AF397D">
      <w:pPr>
        <w:rPr>
          <w:color w:val="000000" w:themeColor="text1"/>
        </w:rPr>
      </w:pPr>
      <w:r>
        <w:rPr>
          <w:color w:val="000000" w:themeColor="text1"/>
        </w:rPr>
        <w:br w:type="page"/>
      </w:r>
    </w:p>
    <w:p w14:paraId="495A9746" w14:textId="18E97E5C" w:rsidR="00422EC9" w:rsidRDefault="00422EC9" w:rsidP="00AF397D">
      <w:pPr>
        <w:rPr>
          <w:color w:val="000000" w:themeColor="text1"/>
        </w:rPr>
      </w:pPr>
      <w:r w:rsidRPr="009013F9">
        <w:rPr>
          <w:color w:val="000000" w:themeColor="text1"/>
        </w:rPr>
        <w:lastRenderedPageBreak/>
        <w:t xml:space="preserve">The draft </w:t>
      </w:r>
      <w:r w:rsidR="003D609A">
        <w:rPr>
          <w:color w:val="000000" w:themeColor="text1"/>
        </w:rPr>
        <w:t>variation to the current Code</w:t>
      </w:r>
      <w:r w:rsidRPr="009013F9">
        <w:rPr>
          <w:color w:val="000000" w:themeColor="text1"/>
        </w:rPr>
        <w:t xml:space="preserve"> on which submissions were sought is at Attachment</w:t>
      </w:r>
      <w:r w:rsidR="008855EB">
        <w:rPr>
          <w:color w:val="000000" w:themeColor="text1"/>
        </w:rPr>
        <w:t> </w:t>
      </w:r>
      <w:r w:rsidRPr="009013F9">
        <w:rPr>
          <w:color w:val="000000" w:themeColor="text1"/>
        </w:rPr>
        <w:t>C.</w:t>
      </w:r>
      <w:r w:rsidR="002C1A3B" w:rsidRPr="009013F9">
        <w:rPr>
          <w:color w:val="000000" w:themeColor="text1"/>
        </w:rPr>
        <w:t xml:space="preserve"> </w:t>
      </w:r>
      <w:r w:rsidR="003D609A">
        <w:rPr>
          <w:color w:val="000000" w:themeColor="text1"/>
        </w:rPr>
        <w:t xml:space="preserve">The draft variation to the revised Code on which submissions were sought is at Attachment D. </w:t>
      </w:r>
    </w:p>
    <w:p w14:paraId="358B03A3" w14:textId="7D249D16" w:rsidR="003D3152" w:rsidRDefault="003D3152" w:rsidP="00AF397D">
      <w:pPr>
        <w:rPr>
          <w:color w:val="000000" w:themeColor="text1"/>
          <w:u w:val="single"/>
        </w:rPr>
      </w:pPr>
    </w:p>
    <w:p w14:paraId="7B4D4589" w14:textId="43CA7F73" w:rsidR="00CF6D2D" w:rsidRPr="00CF6D2D" w:rsidRDefault="003D3152" w:rsidP="009279C4">
      <w:r w:rsidRPr="003D3152">
        <w:rPr>
          <w:color w:val="000000" w:themeColor="text1"/>
        </w:rPr>
        <w:t>There are references to both the current and revised Codes in this report.</w:t>
      </w:r>
      <w:bookmarkStart w:id="33" w:name="_Toc11735630"/>
      <w:bookmarkStart w:id="34" w:name="_Toc29883114"/>
      <w:bookmarkStart w:id="35" w:name="_Toc41906801"/>
      <w:bookmarkStart w:id="36" w:name="_Toc41907548"/>
      <w:bookmarkStart w:id="37" w:name="_Toc120358578"/>
      <w:bookmarkStart w:id="38" w:name="_Toc175381435"/>
      <w:bookmarkEnd w:id="6"/>
      <w:bookmarkEnd w:id="7"/>
      <w:bookmarkEnd w:id="8"/>
      <w:bookmarkEnd w:id="9"/>
      <w:bookmarkEnd w:id="10"/>
    </w:p>
    <w:p w14:paraId="336A2648" w14:textId="2CBF99BC" w:rsidR="0012388D" w:rsidRDefault="007A53BF" w:rsidP="001D7296">
      <w:pPr>
        <w:pStyle w:val="Heading1"/>
      </w:pPr>
      <w:bookmarkStart w:id="39" w:name="_Toc428369901"/>
      <w:bookmarkStart w:id="40" w:name="_Toc428861601"/>
      <w:r>
        <w:t>2</w:t>
      </w:r>
      <w:r w:rsidR="00AC428E">
        <w:tab/>
      </w:r>
      <w:r w:rsidR="00AF387F" w:rsidRPr="00CC560B">
        <w:t xml:space="preserve">Summary </w:t>
      </w:r>
      <w:r w:rsidR="00AF387F" w:rsidRPr="000B6AF2">
        <w:rPr>
          <w:u w:color="FFFF00"/>
        </w:rPr>
        <w:t>of</w:t>
      </w:r>
      <w:r w:rsidR="00AF387F" w:rsidRPr="00CC560B">
        <w:t xml:space="preserve"> the findings</w:t>
      </w:r>
      <w:bookmarkEnd w:id="39"/>
      <w:bookmarkEnd w:id="40"/>
    </w:p>
    <w:p w14:paraId="29E2AB71" w14:textId="2DDFE917" w:rsidR="00683E18" w:rsidRPr="00932F14" w:rsidRDefault="00683E18" w:rsidP="005B06CC">
      <w:pPr>
        <w:pStyle w:val="FSCh2Part"/>
      </w:pPr>
      <w:bookmarkStart w:id="41" w:name="_Toc370223472"/>
      <w:bookmarkStart w:id="42" w:name="_Toc370225387"/>
      <w:bookmarkStart w:id="43" w:name="_Toc428369902"/>
      <w:bookmarkStart w:id="44" w:name="_Toc428861602"/>
      <w:bookmarkStart w:id="45" w:name="_Toc309291812"/>
      <w:bookmarkStart w:id="46" w:name="_Toc175381442"/>
      <w:bookmarkStart w:id="47" w:name="_Toc300933438"/>
      <w:bookmarkStart w:id="48" w:name="_Toc370223471"/>
      <w:bookmarkStart w:id="49" w:name="_Toc370225386"/>
      <w:bookmarkStart w:id="50" w:name="_Toc286391009"/>
      <w:bookmarkStart w:id="51" w:name="_Toc300933425"/>
      <w:bookmarkStart w:id="52" w:name="_Toc309291838"/>
      <w:bookmarkStart w:id="53" w:name="_Toc309385455"/>
      <w:bookmarkStart w:id="54" w:name="_Toc120358583"/>
      <w:bookmarkStart w:id="55" w:name="_Toc175381440"/>
      <w:r>
        <w:t>2.1</w:t>
      </w:r>
      <w:r>
        <w:tab/>
      </w:r>
      <w:r w:rsidRPr="00932F14">
        <w:t xml:space="preserve">Risk </w:t>
      </w:r>
      <w:r>
        <w:t>a</w:t>
      </w:r>
      <w:r w:rsidRPr="00932F14">
        <w:t>ssessment</w:t>
      </w:r>
      <w:bookmarkEnd w:id="41"/>
      <w:bookmarkEnd w:id="42"/>
      <w:bookmarkEnd w:id="43"/>
      <w:bookmarkEnd w:id="44"/>
      <w:r w:rsidRPr="00932F14">
        <w:t xml:space="preserve"> </w:t>
      </w:r>
    </w:p>
    <w:p w14:paraId="77D7D4EE" w14:textId="561B236D" w:rsidR="00683E18" w:rsidRPr="00B65830" w:rsidRDefault="00683E18" w:rsidP="00683E18">
      <w:r w:rsidRPr="00B65830">
        <w:t xml:space="preserve">The </w:t>
      </w:r>
      <w:r w:rsidR="00244AF8">
        <w:t>amendments</w:t>
      </w:r>
      <w:r>
        <w:t xml:space="preserve"> </w:t>
      </w:r>
      <w:r w:rsidRPr="00B65830">
        <w:t>are not expected to have an impact on the protection of public health and safety. For this reason, a</w:t>
      </w:r>
      <w:r w:rsidR="00B05464">
        <w:t xml:space="preserve"> scientific</w:t>
      </w:r>
      <w:r w:rsidRPr="00B65830">
        <w:t xml:space="preserve"> risk analysis relating to public health and safety </w:t>
      </w:r>
      <w:r w:rsidR="00B05464">
        <w:t>was not considered necessary</w:t>
      </w:r>
      <w:r w:rsidRPr="00B65830">
        <w:t xml:space="preserve"> for any of the proposed food regulatory measures.</w:t>
      </w:r>
    </w:p>
    <w:p w14:paraId="2E10A839" w14:textId="77777777" w:rsidR="00683E18" w:rsidRPr="00B65830" w:rsidRDefault="00683E18" w:rsidP="00683E18"/>
    <w:p w14:paraId="50124CA0" w14:textId="6611CF5D" w:rsidR="00683E18" w:rsidRPr="00B65830" w:rsidRDefault="00683E18" w:rsidP="00683E18">
      <w:r w:rsidRPr="00B65830">
        <w:t xml:space="preserve">The issues </w:t>
      </w:r>
      <w:r w:rsidR="00C525B6">
        <w:t xml:space="preserve">considered </w:t>
      </w:r>
      <w:r w:rsidRPr="00B65830">
        <w:t>primarily relate to:</w:t>
      </w:r>
    </w:p>
    <w:p w14:paraId="69127F9F" w14:textId="77777777" w:rsidR="00683E18" w:rsidRPr="00B65830" w:rsidRDefault="00683E18" w:rsidP="00683E18"/>
    <w:p w14:paraId="05B6ED61" w14:textId="3246348B" w:rsidR="00683E18" w:rsidRPr="00B65830" w:rsidRDefault="00244AF8" w:rsidP="00683E18">
      <w:pPr>
        <w:pStyle w:val="FSBullet1"/>
      </w:pPr>
      <w:r>
        <w:t>l</w:t>
      </w:r>
      <w:r w:rsidR="00683E18" w:rsidRPr="00B65830">
        <w:t>ack of consistency and detail about how to declare some nutrients in the nutrition information panel (NIP) when certain claims are made</w:t>
      </w:r>
    </w:p>
    <w:p w14:paraId="55BD43F4" w14:textId="77777777" w:rsidR="00683E18" w:rsidRPr="00B65830" w:rsidRDefault="00683E18" w:rsidP="00683E18">
      <w:pPr>
        <w:pStyle w:val="FSBullet1"/>
        <w:numPr>
          <w:ilvl w:val="0"/>
          <w:numId w:val="0"/>
        </w:numPr>
      </w:pPr>
    </w:p>
    <w:p w14:paraId="58E4DDCD" w14:textId="7EC94D9D" w:rsidR="00683E18" w:rsidRPr="00B65830" w:rsidRDefault="00244AF8" w:rsidP="00683E18">
      <w:pPr>
        <w:pStyle w:val="FSBullet1"/>
      </w:pPr>
      <w:r>
        <w:t>c</w:t>
      </w:r>
      <w:r w:rsidR="00683E18" w:rsidRPr="00B65830">
        <w:t>larification that the nutrients used in the nutrient profiling scoring method should be consistent with the amount declared in the NIP, to enable the nutrient profiling score to be determined from the label</w:t>
      </w:r>
    </w:p>
    <w:p w14:paraId="5F1DEC78" w14:textId="77777777" w:rsidR="00683E18" w:rsidRPr="00B65830" w:rsidRDefault="00683E18" w:rsidP="00683E18">
      <w:pPr>
        <w:pStyle w:val="FSBullet1"/>
        <w:numPr>
          <w:ilvl w:val="0"/>
          <w:numId w:val="0"/>
        </w:numPr>
      </w:pPr>
    </w:p>
    <w:p w14:paraId="1A05A01F" w14:textId="63E06A23" w:rsidR="00683E18" w:rsidRPr="00B65830" w:rsidRDefault="00244AF8" w:rsidP="00683E18">
      <w:pPr>
        <w:pStyle w:val="FSBullet1"/>
      </w:pPr>
      <w:r>
        <w:t>c</w:t>
      </w:r>
      <w:r w:rsidR="00683E18" w:rsidRPr="00B65830">
        <w:t xml:space="preserve">larification that the percentage Daily Intake (%DI) for energy does not have to be presented together with the %DI for other nutrients when presented on a label outside the NIP </w:t>
      </w:r>
    </w:p>
    <w:p w14:paraId="64DC87A5" w14:textId="77777777" w:rsidR="00683E18" w:rsidRPr="00B65830" w:rsidRDefault="00683E18" w:rsidP="00683E18">
      <w:pPr>
        <w:pStyle w:val="FSBullet1"/>
        <w:numPr>
          <w:ilvl w:val="0"/>
          <w:numId w:val="0"/>
        </w:numPr>
      </w:pPr>
    </w:p>
    <w:p w14:paraId="7B4CC298" w14:textId="7142829D" w:rsidR="00683E18" w:rsidRPr="005F0BD9" w:rsidRDefault="00244AF8" w:rsidP="00683E18">
      <w:pPr>
        <w:pStyle w:val="FSBullet1"/>
      </w:pPr>
      <w:r>
        <w:t>c</w:t>
      </w:r>
      <w:r w:rsidR="00683E18" w:rsidRPr="005F0BD9">
        <w:t xml:space="preserve">larification that the %DI for dietary fibre is permitted to be declared outside the NIP, together with the %DI for </w:t>
      </w:r>
      <w:r w:rsidR="00AF368A" w:rsidRPr="005F0BD9">
        <w:t>energy, fat, saturated fat, protein, carbohydrate, sugars and sodium</w:t>
      </w:r>
      <w:r w:rsidR="008855EB">
        <w:t xml:space="preserve">, </w:t>
      </w:r>
      <w:r w:rsidR="008855EB" w:rsidRPr="005F0BD9">
        <w:t>if it is also declared in the NIP</w:t>
      </w:r>
    </w:p>
    <w:p w14:paraId="4AD23283" w14:textId="77777777" w:rsidR="00683E18" w:rsidRPr="00B65830" w:rsidRDefault="00683E18" w:rsidP="00683E18">
      <w:pPr>
        <w:pStyle w:val="FSBullet1"/>
        <w:numPr>
          <w:ilvl w:val="0"/>
          <w:numId w:val="0"/>
        </w:numPr>
      </w:pPr>
    </w:p>
    <w:p w14:paraId="7CE897A3" w14:textId="044DD396" w:rsidR="00683E18" w:rsidRPr="00B65830" w:rsidRDefault="00244AF8" w:rsidP="00683E18">
      <w:pPr>
        <w:pStyle w:val="FSBullet1"/>
      </w:pPr>
      <w:r>
        <w:t>i</w:t>
      </w:r>
      <w:r w:rsidR="00683E18" w:rsidRPr="00B65830">
        <w:t>nconsistency of requirements for declaring nutrition information on small packages when certain claims are made, with applicable requirements for NIPs</w:t>
      </w:r>
    </w:p>
    <w:p w14:paraId="020E566F" w14:textId="77777777" w:rsidR="00683E18" w:rsidRPr="00B65830" w:rsidRDefault="00683E18" w:rsidP="00683E18">
      <w:pPr>
        <w:pStyle w:val="FSBullet1"/>
        <w:numPr>
          <w:ilvl w:val="0"/>
          <w:numId w:val="0"/>
        </w:numPr>
      </w:pPr>
    </w:p>
    <w:p w14:paraId="7B168A5B" w14:textId="7066D856" w:rsidR="00683E18" w:rsidRPr="00B65830" w:rsidRDefault="00244AF8" w:rsidP="00683E18">
      <w:pPr>
        <w:pStyle w:val="FSBullet1"/>
      </w:pPr>
      <w:r>
        <w:t>i</w:t>
      </w:r>
      <w:r w:rsidR="00683E18" w:rsidRPr="00B65830">
        <w:t>nadvertent application of clauses about food in small packages to food for infants</w:t>
      </w:r>
    </w:p>
    <w:p w14:paraId="2AC6C172" w14:textId="77777777" w:rsidR="00683E18" w:rsidRPr="00B65830" w:rsidRDefault="00683E18" w:rsidP="00683E18">
      <w:pPr>
        <w:pStyle w:val="FSBullet1"/>
        <w:numPr>
          <w:ilvl w:val="0"/>
          <w:numId w:val="0"/>
        </w:numPr>
      </w:pPr>
    </w:p>
    <w:p w14:paraId="25F7EA8A" w14:textId="3FADD8C9" w:rsidR="00683E18" w:rsidRPr="00B65830" w:rsidRDefault="00244AF8" w:rsidP="00683E18">
      <w:pPr>
        <w:pStyle w:val="FSBullet1"/>
      </w:pPr>
      <w:r>
        <w:t>m</w:t>
      </w:r>
      <w:r w:rsidR="00683E18" w:rsidRPr="00B65830">
        <w:t>inor formatting and editorial issues in Standards 1.2.7 and 1.2.8</w:t>
      </w:r>
      <w:r w:rsidR="00CF6D2D">
        <w:t xml:space="preserve"> </w:t>
      </w:r>
      <w:r w:rsidR="004D3026">
        <w:t>in the current Code</w:t>
      </w:r>
      <w:r w:rsidR="00CF6D2D">
        <w:t xml:space="preserve"> (Standard 1.2.7, Schedule 4, </w:t>
      </w:r>
      <w:r w:rsidR="00CF6D2D" w:rsidRPr="001705FD">
        <w:t xml:space="preserve">Standard 1.2.8 and Schedules 12 ,13 </w:t>
      </w:r>
      <w:r w:rsidR="004D3026">
        <w:t>in the revised Code</w:t>
      </w:r>
      <w:r w:rsidR="00CF6D2D">
        <w:t>)</w:t>
      </w:r>
    </w:p>
    <w:p w14:paraId="32ED657C" w14:textId="77777777" w:rsidR="00683E18" w:rsidRPr="00B65830" w:rsidRDefault="00683E18" w:rsidP="00683E18">
      <w:pPr>
        <w:pStyle w:val="FSBullet1"/>
        <w:numPr>
          <w:ilvl w:val="0"/>
          <w:numId w:val="0"/>
        </w:numPr>
      </w:pPr>
    </w:p>
    <w:p w14:paraId="585B061C" w14:textId="59E1217B" w:rsidR="00683E18" w:rsidRPr="00B65830" w:rsidRDefault="00244AF8" w:rsidP="00683E18">
      <w:pPr>
        <w:pStyle w:val="FSBullet1"/>
      </w:pPr>
      <w:r>
        <w:t>p</w:t>
      </w:r>
      <w:r w:rsidR="00683E18" w:rsidRPr="00B65830">
        <w:t xml:space="preserve">roposed exemption for certain elements of the HSR system from claim requirements in </w:t>
      </w:r>
      <w:r w:rsidR="00683E18" w:rsidRPr="001705FD">
        <w:t>Standards 1.2.7 and 1.2.8</w:t>
      </w:r>
      <w:r w:rsidR="001C4760" w:rsidRPr="001705FD">
        <w:t xml:space="preserve"> </w:t>
      </w:r>
      <w:r w:rsidR="004D3026">
        <w:t>in the current Code</w:t>
      </w:r>
      <w:r w:rsidR="001C4760" w:rsidRPr="001705FD">
        <w:t xml:space="preserve"> (Standard 1.2.7, Schedule 4, Standard 1.2.8 and Schedule 13 </w:t>
      </w:r>
      <w:r w:rsidR="004D3026">
        <w:t>in the revised Code</w:t>
      </w:r>
      <w:r w:rsidR="001C4760">
        <w:t>).</w:t>
      </w:r>
      <w:r w:rsidR="00683E18" w:rsidRPr="00B65830">
        <w:t xml:space="preserve"> </w:t>
      </w:r>
    </w:p>
    <w:p w14:paraId="370645A0" w14:textId="77777777" w:rsidR="00683E18" w:rsidRPr="00B65830" w:rsidRDefault="00683E18" w:rsidP="00683E18"/>
    <w:p w14:paraId="06A9E2B8" w14:textId="036BDAF1" w:rsidR="00683E18" w:rsidRPr="00B65830" w:rsidRDefault="00683E18" w:rsidP="00683E18">
      <w:r w:rsidRPr="00B65830">
        <w:t xml:space="preserve">The issues considered are detailed </w:t>
      </w:r>
      <w:r w:rsidRPr="0049728A">
        <w:t>in section 2.3</w:t>
      </w:r>
      <w:r w:rsidRPr="00B65830">
        <w:t>.</w:t>
      </w:r>
    </w:p>
    <w:p w14:paraId="0A4B676F" w14:textId="05D8BFD0" w:rsidR="007A53BF" w:rsidRPr="002C1A3B" w:rsidRDefault="007A53BF" w:rsidP="005B06CC">
      <w:pPr>
        <w:pStyle w:val="FSCh2Part"/>
      </w:pPr>
      <w:bookmarkStart w:id="56" w:name="_Toc428369903"/>
      <w:bookmarkStart w:id="57" w:name="_Toc428861603"/>
      <w:bookmarkEnd w:id="45"/>
      <w:bookmarkEnd w:id="46"/>
      <w:r w:rsidRPr="002C1A3B">
        <w:t>2.</w:t>
      </w:r>
      <w:r w:rsidR="00683E18">
        <w:t>2</w:t>
      </w:r>
      <w:r w:rsidRPr="002C1A3B">
        <w:tab/>
        <w:t xml:space="preserve">Summary of issues raised </w:t>
      </w:r>
      <w:bookmarkEnd w:id="47"/>
      <w:r w:rsidRPr="002C1A3B">
        <w:t>in submissions</w:t>
      </w:r>
      <w:bookmarkEnd w:id="48"/>
      <w:bookmarkEnd w:id="49"/>
      <w:bookmarkEnd w:id="56"/>
      <w:bookmarkEnd w:id="57"/>
    </w:p>
    <w:p w14:paraId="33B97027" w14:textId="47DD2B71" w:rsidR="00616539" w:rsidRDefault="00616539" w:rsidP="00616539">
      <w:r w:rsidRPr="00616539">
        <w:t xml:space="preserve">FSANZ received </w:t>
      </w:r>
      <w:r>
        <w:t>1</w:t>
      </w:r>
      <w:r w:rsidRPr="00616539">
        <w:t xml:space="preserve">3 submissions. </w:t>
      </w:r>
      <w:r w:rsidR="00E73173">
        <w:t>M</w:t>
      </w:r>
      <w:r>
        <w:t xml:space="preserve">ost submitters </w:t>
      </w:r>
      <w:r w:rsidR="00E73173">
        <w:t>supported</w:t>
      </w:r>
      <w:r>
        <w:t xml:space="preserve"> the draft variations</w:t>
      </w:r>
      <w:r w:rsidR="003C4A94">
        <w:t>,</w:t>
      </w:r>
      <w:r w:rsidR="00B05464">
        <w:t xml:space="preserve"> but some </w:t>
      </w:r>
      <w:r w:rsidR="00C525B6">
        <w:t>concerns</w:t>
      </w:r>
      <w:r w:rsidR="00E73173">
        <w:t xml:space="preserve"> were raised</w:t>
      </w:r>
      <w:r w:rsidR="00B05464">
        <w:t xml:space="preserve">. </w:t>
      </w:r>
      <w:r w:rsidR="00364FE5">
        <w:t xml:space="preserve">Two submitters </w:t>
      </w:r>
      <w:r w:rsidR="00E73173">
        <w:t>did not support</w:t>
      </w:r>
      <w:r w:rsidR="00364FE5">
        <w:t xml:space="preserve"> the proposed exemption of certain elements of the HSR system from claim requirements in the Code. </w:t>
      </w:r>
    </w:p>
    <w:p w14:paraId="08DE6177" w14:textId="77777777" w:rsidR="00616539" w:rsidRPr="00616539" w:rsidRDefault="00616539" w:rsidP="00616539"/>
    <w:p w14:paraId="6C104FB9" w14:textId="2B7A578C" w:rsidR="004D3026" w:rsidRDefault="00616539" w:rsidP="00616539">
      <w:r w:rsidRPr="00616539">
        <w:t xml:space="preserve">The main issues raised in submissions </w:t>
      </w:r>
      <w:r w:rsidR="00BA4E36">
        <w:t xml:space="preserve">of relevance to the draft variations </w:t>
      </w:r>
      <w:r w:rsidR="00160CDC">
        <w:t>are listed below.</w:t>
      </w:r>
      <w:r w:rsidR="004D3026">
        <w:br w:type="page"/>
      </w:r>
    </w:p>
    <w:p w14:paraId="36A9FD07" w14:textId="72F708AD" w:rsidR="006B00A4" w:rsidRDefault="00160CDC" w:rsidP="00683E18">
      <w:pPr>
        <w:pStyle w:val="FSBullet1"/>
      </w:pPr>
      <w:r>
        <w:lastRenderedPageBreak/>
        <w:t xml:space="preserve">There is </w:t>
      </w:r>
      <w:r w:rsidR="00F930B4">
        <w:t>i</w:t>
      </w:r>
      <w:r w:rsidR="006B00A4">
        <w:t xml:space="preserve">nconsistency in the term ‘saturated fatty acid’ in clause 5 of Standard 1.2.8 </w:t>
      </w:r>
      <w:r w:rsidR="004D3026">
        <w:t>in the current Code</w:t>
      </w:r>
      <w:r w:rsidR="001C4760">
        <w:t xml:space="preserve"> </w:t>
      </w:r>
      <w:r w:rsidR="006B00A4">
        <w:t xml:space="preserve">and the </w:t>
      </w:r>
      <w:r w:rsidR="00E77C84">
        <w:t>NIP</w:t>
      </w:r>
      <w:r w:rsidR="006B00A4">
        <w:t xml:space="preserve"> format which use</w:t>
      </w:r>
      <w:r w:rsidR="00F930B4">
        <w:t>s</w:t>
      </w:r>
      <w:r w:rsidR="006B00A4">
        <w:t xml:space="preserve"> the term ‘saturated’. </w:t>
      </w:r>
    </w:p>
    <w:p w14:paraId="5253ADCA" w14:textId="77777777" w:rsidR="00D76D02" w:rsidRPr="00D76D02" w:rsidRDefault="00D76D02" w:rsidP="00D76D02">
      <w:pPr>
        <w:rPr>
          <w:lang w:bidi="ar-SA"/>
        </w:rPr>
      </w:pPr>
    </w:p>
    <w:p w14:paraId="701902F6" w14:textId="07306D49" w:rsidR="006B00A4" w:rsidRDefault="00160CDC" w:rsidP="00683E18">
      <w:pPr>
        <w:pStyle w:val="FSBullet1"/>
      </w:pPr>
      <w:r>
        <w:t xml:space="preserve">Requiring </w:t>
      </w:r>
      <w:r w:rsidR="006B00A4">
        <w:t>certain %DI declarations in NIPs as a pre-condition for stating %DI values outside the NIP is further regulation which is not supported and may render some existing labels illegal</w:t>
      </w:r>
      <w:r w:rsidR="00F930B4">
        <w:t>,</w:t>
      </w:r>
      <w:r w:rsidR="006B00A4">
        <w:t xml:space="preserve"> meaning that a W</w:t>
      </w:r>
      <w:r w:rsidR="007214FB">
        <w:t xml:space="preserve">orld </w:t>
      </w:r>
      <w:r w:rsidR="006B00A4">
        <w:t>T</w:t>
      </w:r>
      <w:r w:rsidR="007214FB">
        <w:t xml:space="preserve">rade </w:t>
      </w:r>
      <w:r w:rsidR="006B00A4">
        <w:t>O</w:t>
      </w:r>
      <w:r w:rsidR="007214FB">
        <w:t>rganization</w:t>
      </w:r>
      <w:r w:rsidR="006B00A4">
        <w:t xml:space="preserve"> notification, </w:t>
      </w:r>
      <w:r w:rsidR="007214FB">
        <w:t>Regulation Impact Statement</w:t>
      </w:r>
      <w:r w:rsidR="006B00A4">
        <w:t xml:space="preserve"> process, appropriate transition</w:t>
      </w:r>
      <w:r w:rsidR="00F930B4">
        <w:t xml:space="preserve"> </w:t>
      </w:r>
      <w:r w:rsidR="006B00A4">
        <w:t xml:space="preserve">period and stock-in-trade </w:t>
      </w:r>
      <w:r w:rsidR="007214FB" w:rsidRPr="004456A2">
        <w:t>exemption</w:t>
      </w:r>
      <w:r w:rsidR="007214FB">
        <w:t xml:space="preserve"> </w:t>
      </w:r>
      <w:r w:rsidR="006B00A4">
        <w:t>would all be required.</w:t>
      </w:r>
    </w:p>
    <w:p w14:paraId="6F3EFB37" w14:textId="77777777" w:rsidR="00D76D02" w:rsidRPr="00D76D02" w:rsidRDefault="00D76D02" w:rsidP="00D76D02">
      <w:pPr>
        <w:rPr>
          <w:lang w:bidi="ar-SA"/>
        </w:rPr>
      </w:pPr>
    </w:p>
    <w:p w14:paraId="796D215F" w14:textId="5B668F18" w:rsidR="00D76D02" w:rsidRDefault="00160CDC" w:rsidP="00683E18">
      <w:pPr>
        <w:pStyle w:val="FSBullet1"/>
      </w:pPr>
      <w:r>
        <w:t xml:space="preserve">With </w:t>
      </w:r>
      <w:r w:rsidR="00D76D02" w:rsidRPr="00D76D02">
        <w:t>moving the additional labelling requirements when certain claims are made from Standard 1.2.7 into Standard 1.2.8</w:t>
      </w:r>
      <w:r w:rsidR="001C4760">
        <w:t xml:space="preserve"> </w:t>
      </w:r>
      <w:r w:rsidR="004D3026">
        <w:t>in the current Code</w:t>
      </w:r>
      <w:r w:rsidR="009A0FF7">
        <w:t>,</w:t>
      </w:r>
      <w:r w:rsidR="00D76D02" w:rsidRPr="00D76D02">
        <w:t xml:space="preserve"> the Code is not as transparent. Suggestion to cross reference Standard 1.2.7 to the requirements in Standard 1.2.8. </w:t>
      </w:r>
    </w:p>
    <w:p w14:paraId="5E386F34" w14:textId="77777777" w:rsidR="00D76D02" w:rsidRPr="00D76D02" w:rsidRDefault="00D76D02" w:rsidP="00D76D02">
      <w:pPr>
        <w:rPr>
          <w:lang w:bidi="ar-SA"/>
        </w:rPr>
      </w:pPr>
    </w:p>
    <w:p w14:paraId="19BAFAAA" w14:textId="7F2B25C6" w:rsidR="006B00A4" w:rsidRDefault="006B00A4" w:rsidP="007C242D">
      <w:pPr>
        <w:pStyle w:val="FSBullet1"/>
      </w:pPr>
      <w:r>
        <w:t xml:space="preserve">Suggest </w:t>
      </w:r>
      <w:r w:rsidRPr="006B00A4">
        <w:t>Standard 1.2.8</w:t>
      </w:r>
      <w:r w:rsidR="001C4760">
        <w:t xml:space="preserve"> of the current and revised Codes</w:t>
      </w:r>
      <w:r w:rsidRPr="006B00A4">
        <w:t xml:space="preserve"> is clarified to ensure %DI </w:t>
      </w:r>
      <w:r w:rsidR="00F930B4">
        <w:t xml:space="preserve">for </w:t>
      </w:r>
      <w:r w:rsidRPr="006B00A4">
        <w:t>energy may be presented with the HSR energy icons, either alone or together with the other nutrient icons, on a ‘per pack’; ‘per serve’; and ‘per [reference] portion’ (with respect to confectionery in multipacks); to avoid doubt.</w:t>
      </w:r>
    </w:p>
    <w:p w14:paraId="360F1241" w14:textId="77777777" w:rsidR="00D76D02" w:rsidRPr="00D76D02" w:rsidRDefault="00D76D02" w:rsidP="00D76D02">
      <w:pPr>
        <w:rPr>
          <w:lang w:bidi="ar-SA"/>
        </w:rPr>
      </w:pPr>
    </w:p>
    <w:p w14:paraId="3C53F4A0" w14:textId="30FFB527" w:rsidR="00616539" w:rsidRDefault="00616539" w:rsidP="00683E18">
      <w:pPr>
        <w:pStyle w:val="FSBullet1"/>
      </w:pPr>
      <w:r w:rsidRPr="00616539">
        <w:t>Concern that</w:t>
      </w:r>
      <w:r w:rsidR="00B12B9C">
        <w:t xml:space="preserve"> requirements for</w:t>
      </w:r>
      <w:r w:rsidRPr="00616539">
        <w:t xml:space="preserve"> </w:t>
      </w:r>
      <w:r w:rsidRPr="003F0700">
        <w:t>compl</w:t>
      </w:r>
      <w:r w:rsidR="00B12B9C">
        <w:t xml:space="preserve">ying with the Code </w:t>
      </w:r>
      <w:r w:rsidRPr="003F0700">
        <w:t xml:space="preserve">for </w:t>
      </w:r>
      <w:r w:rsidR="00B12B9C">
        <w:t xml:space="preserve">elements of the </w:t>
      </w:r>
      <w:r w:rsidRPr="003F0700">
        <w:t xml:space="preserve">HSR </w:t>
      </w:r>
      <w:r w:rsidR="008855EB">
        <w:t xml:space="preserve">system </w:t>
      </w:r>
      <w:r w:rsidRPr="003F0700">
        <w:t>will favour</w:t>
      </w:r>
      <w:r w:rsidR="00967BF7">
        <w:t xml:space="preserve"> the</w:t>
      </w:r>
      <w:r w:rsidRPr="003F0700">
        <w:t xml:space="preserve"> use of %DI over </w:t>
      </w:r>
      <w:r w:rsidR="008855EB">
        <w:t xml:space="preserve">the </w:t>
      </w:r>
      <w:r w:rsidRPr="003F0700">
        <w:t>HSR</w:t>
      </w:r>
      <w:r w:rsidR="008855EB">
        <w:t xml:space="preserve"> system</w:t>
      </w:r>
      <w:r w:rsidRPr="003F0700">
        <w:t>.</w:t>
      </w:r>
    </w:p>
    <w:p w14:paraId="7B3C24D2" w14:textId="77777777" w:rsidR="00D76D02" w:rsidRPr="00D76D02" w:rsidRDefault="00D76D02" w:rsidP="00D76D02">
      <w:pPr>
        <w:rPr>
          <w:lang w:bidi="ar-SA"/>
        </w:rPr>
      </w:pPr>
    </w:p>
    <w:p w14:paraId="708AA8CA" w14:textId="774EFE6A" w:rsidR="00844C2F" w:rsidRDefault="00616539" w:rsidP="00683E18">
      <w:pPr>
        <w:pStyle w:val="FSBullet1"/>
      </w:pPr>
      <w:r w:rsidRPr="003F0700">
        <w:t xml:space="preserve">The relevant New Zealand Trade Mark numbers for the HSR </w:t>
      </w:r>
      <w:r w:rsidR="008855EB">
        <w:t xml:space="preserve">system </w:t>
      </w:r>
      <w:r w:rsidR="00844C2F" w:rsidRPr="003F0700">
        <w:t xml:space="preserve">were not </w:t>
      </w:r>
      <w:r w:rsidRPr="003F0700">
        <w:t xml:space="preserve">included in </w:t>
      </w:r>
      <w:r w:rsidR="00844C2F" w:rsidRPr="003F0700">
        <w:t xml:space="preserve">the drafting. </w:t>
      </w:r>
    </w:p>
    <w:p w14:paraId="7E7E1B20" w14:textId="77777777" w:rsidR="0049728A" w:rsidRDefault="0049728A" w:rsidP="0049728A">
      <w:pPr>
        <w:ind w:left="567"/>
        <w:rPr>
          <w:lang w:bidi="ar-SA"/>
        </w:rPr>
      </w:pPr>
    </w:p>
    <w:p w14:paraId="62ED56E5" w14:textId="0CFCC358" w:rsidR="00844C2F" w:rsidRDefault="00844C2F" w:rsidP="00683E18">
      <w:pPr>
        <w:pStyle w:val="FSBullet1"/>
      </w:pPr>
      <w:r w:rsidRPr="003F0700">
        <w:t>Concern about the exemption from the form of the food requirements for claims, for the trademarked elements of the HSR</w:t>
      </w:r>
      <w:r w:rsidR="008855EB">
        <w:t xml:space="preserve"> system</w:t>
      </w:r>
      <w:r w:rsidRPr="003F0700">
        <w:t xml:space="preserve">. </w:t>
      </w:r>
    </w:p>
    <w:p w14:paraId="18AA121C" w14:textId="77777777" w:rsidR="00D76D02" w:rsidRPr="00D76D02" w:rsidRDefault="00D76D02" w:rsidP="00D76D02">
      <w:pPr>
        <w:rPr>
          <w:lang w:bidi="ar-SA"/>
        </w:rPr>
      </w:pPr>
    </w:p>
    <w:p w14:paraId="6D502244" w14:textId="79B3201A" w:rsidR="00844C2F" w:rsidRDefault="0052767E" w:rsidP="00683E18">
      <w:pPr>
        <w:pStyle w:val="FSBullet1"/>
      </w:pPr>
      <w:r>
        <w:t>Front-of-</w:t>
      </w:r>
      <w:r w:rsidR="003F0700" w:rsidRPr="003F0700">
        <w:t xml:space="preserve">pack labelling schemes that repeat information in the </w:t>
      </w:r>
      <w:r w:rsidR="00E77C84">
        <w:t>NIP</w:t>
      </w:r>
      <w:r w:rsidR="003F0700" w:rsidRPr="003F0700">
        <w:t xml:space="preserve"> should be exempt generally, in line with Government policies relating to contestability. </w:t>
      </w:r>
    </w:p>
    <w:p w14:paraId="4EED8FE5" w14:textId="77777777" w:rsidR="00D76D02" w:rsidRPr="00D76D02" w:rsidRDefault="00D76D02" w:rsidP="00D76D02">
      <w:pPr>
        <w:rPr>
          <w:lang w:bidi="ar-SA"/>
        </w:rPr>
      </w:pPr>
    </w:p>
    <w:p w14:paraId="04324A73" w14:textId="1AF0EF91" w:rsidR="003F0700" w:rsidRPr="003F0700" w:rsidRDefault="003F0700" w:rsidP="00683E18">
      <w:pPr>
        <w:pStyle w:val="FSBullet1"/>
      </w:pPr>
      <w:r w:rsidRPr="003F0700">
        <w:t xml:space="preserve">Transition period and </w:t>
      </w:r>
      <w:r w:rsidR="00F150B5">
        <w:t xml:space="preserve">stock-in-trade </w:t>
      </w:r>
      <w:r w:rsidR="007214FB" w:rsidRPr="004456A2">
        <w:t>exemption</w:t>
      </w:r>
      <w:r w:rsidR="007214FB">
        <w:t xml:space="preserve"> </w:t>
      </w:r>
      <w:r w:rsidRPr="003F0700">
        <w:t xml:space="preserve">requested </w:t>
      </w:r>
      <w:r w:rsidR="00656A01" w:rsidRPr="003F0700">
        <w:t>m</w:t>
      </w:r>
      <w:r w:rsidR="00656A01">
        <w:t>ight</w:t>
      </w:r>
      <w:r w:rsidR="00656A01" w:rsidRPr="003F0700">
        <w:t xml:space="preserve"> </w:t>
      </w:r>
      <w:r w:rsidRPr="003F0700">
        <w:t>result in label changes (no examples or evidence provided).</w:t>
      </w:r>
    </w:p>
    <w:p w14:paraId="55CBDC9E" w14:textId="77777777" w:rsidR="00616539" w:rsidRPr="00616539" w:rsidRDefault="00616539" w:rsidP="00616539"/>
    <w:p w14:paraId="73E00053" w14:textId="77777777" w:rsidR="00E16135" w:rsidRDefault="00051025" w:rsidP="00616539">
      <w:pPr>
        <w:sectPr w:rsidR="00E16135" w:rsidSect="00A437B9">
          <w:pgSz w:w="11907" w:h="16840" w:code="9"/>
          <w:pgMar w:top="1418" w:right="1418" w:bottom="1418" w:left="1418" w:header="709" w:footer="709" w:gutter="0"/>
          <w:pgNumType w:start="1"/>
          <w:cols w:space="708"/>
          <w:docGrid w:linePitch="360"/>
        </w:sectPr>
      </w:pPr>
      <w:r>
        <w:t>A summary of the issues raised</w:t>
      </w:r>
      <w:r w:rsidR="00616539" w:rsidRPr="00616539">
        <w:t xml:space="preserve"> and the FSANZ responses </w:t>
      </w:r>
      <w:r>
        <w:t xml:space="preserve">are </w:t>
      </w:r>
      <w:r w:rsidR="00616539" w:rsidRPr="00616539">
        <w:t xml:space="preserve">provided in Table </w:t>
      </w:r>
      <w:r w:rsidR="00F429CA">
        <w:t>2</w:t>
      </w:r>
      <w:r w:rsidR="00616539" w:rsidRPr="00616539">
        <w:t xml:space="preserve"> below. </w:t>
      </w:r>
    </w:p>
    <w:p w14:paraId="09CBC78C" w14:textId="0B47A2EA" w:rsidR="007A53BF" w:rsidRDefault="007A53BF" w:rsidP="007A53BF">
      <w:pPr>
        <w:pStyle w:val="FSTableTitle"/>
      </w:pPr>
      <w:r>
        <w:lastRenderedPageBreak/>
        <w:t xml:space="preserve">Table </w:t>
      </w:r>
      <w:r w:rsidR="00F429CA">
        <w:t>2</w:t>
      </w:r>
      <w:r>
        <w:t xml:space="preserve">: Summary of issues </w:t>
      </w:r>
    </w:p>
    <w:p w14:paraId="69B2FE81" w14:textId="77777777" w:rsidR="007A53BF" w:rsidRPr="00B853D2" w:rsidRDefault="007A53BF" w:rsidP="007A53BF"/>
    <w:tbl>
      <w:tblPr>
        <w:tblStyle w:val="MediumShading1-Accent3"/>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817"/>
        <w:gridCol w:w="7885"/>
        <w:gridCol w:w="62"/>
      </w:tblGrid>
      <w:tr w:rsidR="007A53BF" w14:paraId="1CDD845F" w14:textId="77777777" w:rsidTr="001E48EA">
        <w:trPr>
          <w:gridAfter w:val="1"/>
          <w:cnfStyle w:val="100000000000" w:firstRow="1" w:lastRow="0" w:firstColumn="0" w:lastColumn="0" w:oddVBand="0" w:evenVBand="0" w:oddHBand="0" w:evenHBand="0" w:firstRowFirstColumn="0" w:firstRowLastColumn="0" w:lastRowFirstColumn="0" w:lastRowLastColumn="0"/>
          <w:wAfter w:w="62" w:type="dxa"/>
          <w:tblHeader/>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12DA80FE" w14:textId="77777777" w:rsidR="007A53BF" w:rsidRDefault="007A53BF" w:rsidP="007A53BF">
            <w:pPr>
              <w:spacing w:after="240"/>
            </w:pPr>
            <w:r>
              <w:t>Issue</w:t>
            </w:r>
          </w:p>
        </w:tc>
        <w:tc>
          <w:tcPr>
            <w:tcW w:w="1817" w:type="dxa"/>
            <w:tcBorders>
              <w:top w:val="single" w:sz="4" w:space="0" w:color="auto"/>
              <w:left w:val="single" w:sz="4" w:space="0" w:color="auto"/>
              <w:bottom w:val="single" w:sz="4" w:space="0" w:color="auto"/>
              <w:right w:val="single" w:sz="4" w:space="0" w:color="auto"/>
            </w:tcBorders>
          </w:tcPr>
          <w:p w14:paraId="639359DA"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7885" w:type="dxa"/>
            <w:tcBorders>
              <w:top w:val="single" w:sz="4" w:space="0" w:color="auto"/>
              <w:left w:val="single" w:sz="4" w:space="0" w:color="auto"/>
              <w:bottom w:val="single" w:sz="4" w:space="0" w:color="auto"/>
              <w:right w:val="single" w:sz="4" w:space="0" w:color="auto"/>
            </w:tcBorders>
          </w:tcPr>
          <w:p w14:paraId="26EAE846" w14:textId="77777777"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31592E" w14:paraId="13EA1390" w14:textId="77777777" w:rsidTr="001E48EA">
        <w:trPr>
          <w:gridAfter w:val="1"/>
          <w:cnfStyle w:val="000000100000" w:firstRow="0" w:lastRow="0" w:firstColumn="0" w:lastColumn="0" w:oddVBand="0" w:evenVBand="0" w:oddHBand="1" w:evenHBand="0" w:firstRowFirstColumn="0" w:firstRowLastColumn="0" w:lastRowFirstColumn="0" w:lastRowLastColumn="0"/>
          <w:wAfter w:w="62" w:type="dxa"/>
          <w:cantSplit/>
        </w:trPr>
        <w:tc>
          <w:tcPr>
            <w:cnfStyle w:val="001000000000" w:firstRow="0" w:lastRow="0" w:firstColumn="1" w:lastColumn="0" w:oddVBand="0" w:evenVBand="0" w:oddHBand="0" w:evenHBand="0" w:firstRowFirstColumn="0" w:firstRowLastColumn="0" w:lastRowFirstColumn="0" w:lastRowLastColumn="0"/>
            <w:tcW w:w="13654" w:type="dxa"/>
            <w:gridSpan w:val="3"/>
            <w:tcBorders>
              <w:top w:val="single" w:sz="4" w:space="0" w:color="auto"/>
              <w:bottom w:val="single" w:sz="4" w:space="0" w:color="auto"/>
            </w:tcBorders>
            <w:shd w:val="clear" w:color="auto" w:fill="auto"/>
          </w:tcPr>
          <w:p w14:paraId="48136A8A" w14:textId="77777777" w:rsidR="0031592E" w:rsidRDefault="0034127E" w:rsidP="0086571E">
            <w:pPr>
              <w:pStyle w:val="Table2"/>
            </w:pPr>
            <w:r>
              <w:t>C</w:t>
            </w:r>
            <w:r w:rsidR="0031592E" w:rsidRPr="004806E0">
              <w:t>onditions for claims about lactose, salt or sodium and omega-3 fatty acids</w:t>
            </w:r>
          </w:p>
          <w:p w14:paraId="6CC9C727" w14:textId="2504175E" w:rsidR="00656A01" w:rsidRPr="000778D6" w:rsidRDefault="00656A01" w:rsidP="0086571E">
            <w:pPr>
              <w:pStyle w:val="Table2"/>
            </w:pPr>
          </w:p>
        </w:tc>
      </w:tr>
      <w:tr w:rsidR="0031592E" w14:paraId="669C49B8"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4DA8EFFD" w14:textId="7B1BA01E" w:rsidR="0031592E" w:rsidRPr="00743003" w:rsidRDefault="0031592E" w:rsidP="0031592E">
            <w:pPr>
              <w:pStyle w:val="Table2"/>
              <w:rPr>
                <w:b w:val="0"/>
              </w:rPr>
            </w:pPr>
            <w:r w:rsidRPr="00743003">
              <w:t xml:space="preserve">In amending paragraph 5(1)(e) of Standard 1.2.7, replacing ‘saturated fat’ with ‘saturated fatty acids’, creates inconsistency between the requirement and the NIP format, which uses the term ‘saturated’. </w:t>
            </w:r>
          </w:p>
        </w:tc>
        <w:tc>
          <w:tcPr>
            <w:tcW w:w="1817" w:type="dxa"/>
            <w:tcBorders>
              <w:top w:val="single" w:sz="4" w:space="0" w:color="auto"/>
              <w:left w:val="single" w:sz="4" w:space="0" w:color="auto"/>
              <w:bottom w:val="single" w:sz="4" w:space="0" w:color="auto"/>
              <w:right w:val="single" w:sz="4" w:space="0" w:color="auto"/>
            </w:tcBorders>
          </w:tcPr>
          <w:p w14:paraId="650B9B51" w14:textId="51484B99" w:rsidR="0031592E" w:rsidRPr="000778D6" w:rsidRDefault="0031592E" w:rsidP="00130123">
            <w:pPr>
              <w:pStyle w:val="Table2"/>
              <w:cnfStyle w:val="000000010000" w:firstRow="0" w:lastRow="0" w:firstColumn="0" w:lastColumn="0" w:oddVBand="0" w:evenVBand="0" w:oddHBand="0" w:evenHBand="1" w:firstRowFirstColumn="0" w:firstRowLastColumn="0" w:lastRowFirstColumn="0" w:lastRowLastColumn="0"/>
            </w:pPr>
            <w:r>
              <w:t>N</w:t>
            </w:r>
            <w:r w:rsidR="00130123">
              <w:t xml:space="preserve">ew Zealand </w:t>
            </w:r>
            <w:r>
              <w:t>F</w:t>
            </w:r>
            <w:r w:rsidR="00130123">
              <w:t xml:space="preserve">ood and </w:t>
            </w:r>
            <w:r>
              <w:t>G</w:t>
            </w:r>
            <w:r w:rsidR="00130123">
              <w:t xml:space="preserve">rocery </w:t>
            </w:r>
            <w:r>
              <w:t>C</w:t>
            </w:r>
            <w:r w:rsidR="00130123">
              <w:t>ouncil (NZFGC)</w:t>
            </w:r>
          </w:p>
        </w:tc>
        <w:tc>
          <w:tcPr>
            <w:tcW w:w="7885" w:type="dxa"/>
            <w:tcBorders>
              <w:top w:val="single" w:sz="4" w:space="0" w:color="auto"/>
              <w:left w:val="single" w:sz="4" w:space="0" w:color="auto"/>
              <w:bottom w:val="single" w:sz="4" w:space="0" w:color="auto"/>
              <w:right w:val="single" w:sz="4" w:space="0" w:color="auto"/>
            </w:tcBorders>
          </w:tcPr>
          <w:p w14:paraId="3A40E4F4" w14:textId="268A80FD" w:rsidR="00B355FD" w:rsidRPr="000778D6" w:rsidRDefault="00A91185" w:rsidP="003A471E">
            <w:pPr>
              <w:pStyle w:val="Table2"/>
              <w:cnfStyle w:val="000000010000" w:firstRow="0" w:lastRow="0" w:firstColumn="0" w:lastColumn="0" w:oddVBand="0" w:evenVBand="0" w:oddHBand="0" w:evenHBand="1" w:firstRowFirstColumn="0" w:firstRowLastColumn="0" w:lastRowFirstColumn="0" w:lastRowLastColumn="0"/>
            </w:pPr>
            <w:r>
              <w:t>FSANZ does not agree there is a legal inconsistency. In the current Code</w:t>
            </w:r>
            <w:r w:rsidR="005C13CA">
              <w:t>,</w:t>
            </w:r>
            <w:r>
              <w:t xml:space="preserve"> the definition of ‘saturated fatty acids’ provides that ‘saturated fatty acids’ are to be declared or included in the NIP as ‘saturated fats’.</w:t>
            </w:r>
            <w:r w:rsidR="00B355FD">
              <w:t xml:space="preserve"> In the r</w:t>
            </w:r>
            <w:r>
              <w:t>evised Code</w:t>
            </w:r>
            <w:r w:rsidR="00B355FD">
              <w:t xml:space="preserve">, </w:t>
            </w:r>
            <w:r w:rsidR="0068528A">
              <w:t>subs</w:t>
            </w:r>
            <w:r w:rsidR="00484DF7">
              <w:t>ection 128</w:t>
            </w:r>
            <w:r w:rsidR="00484DF7" w:rsidRPr="00D80068">
              <w:t>—</w:t>
            </w:r>
            <w:r w:rsidR="00484DF7">
              <w:t xml:space="preserve">6(2) and </w:t>
            </w:r>
            <w:r w:rsidR="0068528A">
              <w:t xml:space="preserve">section </w:t>
            </w:r>
            <w:r w:rsidR="00484DF7">
              <w:t>S12</w:t>
            </w:r>
            <w:r w:rsidR="00484DF7" w:rsidRPr="00D80068">
              <w:t>—</w:t>
            </w:r>
            <w:r>
              <w:t>2</w:t>
            </w:r>
            <w:r w:rsidR="001C4760">
              <w:t xml:space="preserve"> </w:t>
            </w:r>
            <w:r w:rsidR="004D3026">
              <w:t>in Schedule</w:t>
            </w:r>
            <w:r w:rsidR="001C4760">
              <w:t xml:space="preserve"> 12</w:t>
            </w:r>
            <w:r>
              <w:t xml:space="preserve"> in effect provide for ‘saturated fatty acids’ to be included in the NIP as ‘saturated’.</w:t>
            </w:r>
          </w:p>
        </w:tc>
      </w:tr>
      <w:tr w:rsidR="0031592E" w14:paraId="3A24FF77"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14C4F2F6" w14:textId="7EA630FB" w:rsidR="0031592E" w:rsidRPr="00743003" w:rsidRDefault="0031592E" w:rsidP="00361B58">
            <w:pPr>
              <w:pStyle w:val="Table2"/>
              <w:rPr>
                <w:b w:val="0"/>
              </w:rPr>
            </w:pPr>
            <w:r w:rsidRPr="00743003">
              <w:t xml:space="preserve">Omega-3 fatty acid terms are </w:t>
            </w:r>
            <w:r w:rsidR="00361B58">
              <w:t>better</w:t>
            </w:r>
            <w:r w:rsidRPr="00743003">
              <w:t xml:space="preserve"> known by their shortened versions: α-linolenic acid, DHA and EPA. It is not clear that these shortened names are permitted on the NIP</w:t>
            </w:r>
            <w:r w:rsidR="00A17C70">
              <w:t xml:space="preserve"> </w:t>
            </w:r>
            <w:r w:rsidR="004E7B2D">
              <w:t xml:space="preserve">and nutrition information </w:t>
            </w:r>
            <w:r w:rsidR="00A17C70">
              <w:t xml:space="preserve">required </w:t>
            </w:r>
            <w:r w:rsidR="004E7B2D">
              <w:t xml:space="preserve">for </w:t>
            </w:r>
            <w:r>
              <w:t xml:space="preserve">small packages. </w:t>
            </w:r>
          </w:p>
        </w:tc>
        <w:tc>
          <w:tcPr>
            <w:tcW w:w="1817" w:type="dxa"/>
            <w:tcBorders>
              <w:top w:val="single" w:sz="4" w:space="0" w:color="auto"/>
              <w:left w:val="single" w:sz="4" w:space="0" w:color="auto"/>
              <w:bottom w:val="single" w:sz="4" w:space="0" w:color="auto"/>
              <w:right w:val="single" w:sz="4" w:space="0" w:color="auto"/>
            </w:tcBorders>
          </w:tcPr>
          <w:p w14:paraId="62A9760C" w14:textId="77777777" w:rsidR="0031592E" w:rsidRPr="000778D6" w:rsidRDefault="0031592E" w:rsidP="00A91185">
            <w:pPr>
              <w:pStyle w:val="Table2"/>
              <w:cnfStyle w:val="000000100000" w:firstRow="0" w:lastRow="0" w:firstColumn="0" w:lastColumn="0" w:oddVBand="0" w:evenVBand="0" w:oddHBand="1" w:evenHBand="0" w:firstRowFirstColumn="0" w:firstRowLastColumn="0" w:lastRowFirstColumn="0" w:lastRowLastColumn="0"/>
            </w:pPr>
            <w:r>
              <w:t>NZFGC</w:t>
            </w:r>
          </w:p>
        </w:tc>
        <w:tc>
          <w:tcPr>
            <w:tcW w:w="7885" w:type="dxa"/>
            <w:tcBorders>
              <w:top w:val="single" w:sz="4" w:space="0" w:color="auto"/>
              <w:left w:val="single" w:sz="4" w:space="0" w:color="auto"/>
              <w:bottom w:val="single" w:sz="4" w:space="0" w:color="auto"/>
              <w:right w:val="single" w:sz="4" w:space="0" w:color="auto"/>
            </w:tcBorders>
          </w:tcPr>
          <w:p w14:paraId="1A228A6C" w14:textId="036A3388" w:rsidR="0031592E" w:rsidRPr="000778D6" w:rsidRDefault="00A17C70" w:rsidP="0068528A">
            <w:pPr>
              <w:pStyle w:val="Table2"/>
              <w:cnfStyle w:val="000000100000" w:firstRow="0" w:lastRow="0" w:firstColumn="0" w:lastColumn="0" w:oddVBand="0" w:evenVBand="0" w:oddHBand="1" w:evenHBand="0" w:firstRowFirstColumn="0" w:firstRowLastColumn="0" w:lastRowFirstColumn="0" w:lastRowLastColumn="0"/>
            </w:pPr>
            <w:r>
              <w:t xml:space="preserve">Noted and no amendment made to the Code at this stage. </w:t>
            </w:r>
            <w:r w:rsidR="008631EB">
              <w:t>This is currently a matter of interpretati</w:t>
            </w:r>
            <w:r w:rsidR="00484DF7">
              <w:t xml:space="preserve">on, including of </w:t>
            </w:r>
            <w:r w:rsidR="0068528A">
              <w:t>section</w:t>
            </w:r>
            <w:r w:rsidR="00484DF7">
              <w:t xml:space="preserve"> 1.1.1</w:t>
            </w:r>
            <w:r w:rsidR="00484DF7" w:rsidRPr="00D80068">
              <w:t>—</w:t>
            </w:r>
            <w:r w:rsidR="008631EB">
              <w:t>8 (</w:t>
            </w:r>
            <w:r w:rsidR="004D3026">
              <w:t>in the revised Code</w:t>
            </w:r>
            <w:r w:rsidR="008631EB">
              <w:t xml:space="preserve">). </w:t>
            </w:r>
            <w:r>
              <w:t>To expressly permit the use of abbreviations as suggested is out</w:t>
            </w:r>
            <w:r w:rsidR="008631EB">
              <w:t>side</w:t>
            </w:r>
            <w:r>
              <w:t xml:space="preserve"> the scope of this proposal but could be considered as part of another suitable </w:t>
            </w:r>
            <w:r w:rsidR="008631EB">
              <w:t xml:space="preserve">application or </w:t>
            </w:r>
            <w:r>
              <w:t xml:space="preserve">proposal, which would enable full consideration including consultation.  </w:t>
            </w:r>
          </w:p>
        </w:tc>
      </w:tr>
      <w:tr w:rsidR="0031592E" w14:paraId="4025D335"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386954D8" w14:textId="314F788F" w:rsidR="0031592E" w:rsidRPr="00743003" w:rsidRDefault="0031592E" w:rsidP="008631EB">
            <w:pPr>
              <w:pStyle w:val="Table2"/>
              <w:rPr>
                <w:b w:val="0"/>
              </w:rPr>
            </w:pPr>
            <w:r w:rsidRPr="00743003">
              <w:t>Cannot guarantee that no label change will be required as a result of this measure and so a 12 month transitional period followed by usual stock-in-trade provisions should apply unless FSANZ has evidence that no labels are affected.</w:t>
            </w:r>
          </w:p>
        </w:tc>
        <w:tc>
          <w:tcPr>
            <w:tcW w:w="1817" w:type="dxa"/>
            <w:tcBorders>
              <w:top w:val="single" w:sz="4" w:space="0" w:color="auto"/>
              <w:left w:val="single" w:sz="4" w:space="0" w:color="auto"/>
              <w:bottom w:val="single" w:sz="4" w:space="0" w:color="auto"/>
              <w:right w:val="single" w:sz="4" w:space="0" w:color="auto"/>
            </w:tcBorders>
          </w:tcPr>
          <w:p w14:paraId="3BE8A96D" w14:textId="70B378C6" w:rsidR="0031592E" w:rsidRPr="000778D6" w:rsidRDefault="0031592E" w:rsidP="00A91185">
            <w:pPr>
              <w:pStyle w:val="Table2"/>
              <w:cnfStyle w:val="000000010000" w:firstRow="0" w:lastRow="0" w:firstColumn="0" w:lastColumn="0" w:oddVBand="0" w:evenVBand="0" w:oddHBand="0" w:evenHBand="1" w:firstRowFirstColumn="0" w:firstRowLastColumn="0" w:lastRowFirstColumn="0" w:lastRowLastColumn="0"/>
            </w:pPr>
            <w:r>
              <w:t>A</w:t>
            </w:r>
            <w:r w:rsidR="00130123">
              <w:t>ustralia Food and Grocery Council (A</w:t>
            </w:r>
            <w:r>
              <w:t>FGC</w:t>
            </w:r>
            <w:r w:rsidR="00130123">
              <w:t>)</w:t>
            </w:r>
          </w:p>
        </w:tc>
        <w:tc>
          <w:tcPr>
            <w:tcW w:w="7885" w:type="dxa"/>
            <w:tcBorders>
              <w:top w:val="single" w:sz="4" w:space="0" w:color="auto"/>
              <w:left w:val="single" w:sz="4" w:space="0" w:color="auto"/>
              <w:bottom w:val="single" w:sz="4" w:space="0" w:color="auto"/>
              <w:right w:val="single" w:sz="4" w:space="0" w:color="auto"/>
            </w:tcBorders>
          </w:tcPr>
          <w:p w14:paraId="7ED4AE0B" w14:textId="084AC28D" w:rsidR="0031592E" w:rsidRPr="000778D6" w:rsidRDefault="00E16135" w:rsidP="005F33F9">
            <w:pPr>
              <w:pStyle w:val="Table2"/>
              <w:cnfStyle w:val="000000010000" w:firstRow="0" w:lastRow="0" w:firstColumn="0" w:lastColumn="0" w:oddVBand="0" w:evenVBand="0" w:oddHBand="0" w:evenHBand="1" w:firstRowFirstColumn="0" w:firstRowLastColumn="0" w:lastRowFirstColumn="0" w:lastRowLastColumn="0"/>
            </w:pPr>
            <w:r w:rsidRPr="00E16135">
              <w:t>A</w:t>
            </w:r>
            <w:r>
              <w:t xml:space="preserve"> </w:t>
            </w:r>
            <w:r w:rsidRPr="00E16135">
              <w:t xml:space="preserve">transition period </w:t>
            </w:r>
            <w:r>
              <w:t>followed by</w:t>
            </w:r>
            <w:r w:rsidR="005F33F9">
              <w:t xml:space="preserve"> a</w:t>
            </w:r>
            <w:r w:rsidRPr="00E16135">
              <w:t xml:space="preserve"> </w:t>
            </w:r>
            <w:r w:rsidR="00F150B5">
              <w:t xml:space="preserve">stock-in-trade </w:t>
            </w:r>
            <w:r w:rsidR="005F33F9">
              <w:t>exemption</w:t>
            </w:r>
            <w:r>
              <w:t xml:space="preserve"> will be provided</w:t>
            </w:r>
            <w:r w:rsidR="005F33F9">
              <w:t xml:space="preserve"> for the amendments</w:t>
            </w:r>
            <w:r>
              <w:t>. R</w:t>
            </w:r>
            <w:r w:rsidRPr="00E16135">
              <w:t xml:space="preserve">efer to section 3 for further information. </w:t>
            </w:r>
          </w:p>
        </w:tc>
      </w:tr>
      <w:tr w:rsidR="0031592E" w14:paraId="46517487"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062471CC" w14:textId="08AAE7DB" w:rsidR="0031592E" w:rsidRDefault="0031592E" w:rsidP="00A91185">
            <w:pPr>
              <w:pStyle w:val="Table2"/>
              <w:rPr>
                <w:b w:val="0"/>
              </w:rPr>
            </w:pPr>
            <w:r>
              <w:t>Do not support moving the requirements for additional nutrition labelling from Standard 1.2.7 to 1.2.8. The Code should be as transparent as possible</w:t>
            </w:r>
            <w:r w:rsidR="004E7B2D">
              <w:t>.</w:t>
            </w:r>
            <w:r>
              <w:t xml:space="preserve"> </w:t>
            </w:r>
            <w:r w:rsidR="004E7B2D">
              <w:t>S</w:t>
            </w:r>
            <w:r>
              <w:t xml:space="preserve">tandard 1.2.8 </w:t>
            </w:r>
            <w:r w:rsidRPr="00743003">
              <w:t xml:space="preserve">should not be cluttered with requirements that only apply in specific circumstances. </w:t>
            </w:r>
          </w:p>
          <w:p w14:paraId="4BB86B10" w14:textId="77777777" w:rsidR="003A471E" w:rsidRDefault="003A471E" w:rsidP="00A91185">
            <w:pPr>
              <w:pStyle w:val="Table2"/>
              <w:rPr>
                <w:b w:val="0"/>
              </w:rPr>
            </w:pPr>
          </w:p>
          <w:p w14:paraId="3F2E54E9" w14:textId="6708E435" w:rsidR="0031592E" w:rsidRDefault="006A25F7" w:rsidP="00A91185">
            <w:pPr>
              <w:pStyle w:val="Table2"/>
              <w:rPr>
                <w:b w:val="0"/>
                <w:lang w:val="en-NZ"/>
              </w:rPr>
            </w:pPr>
            <w:r>
              <w:rPr>
                <w:lang w:val="en-NZ"/>
              </w:rPr>
              <w:t xml:space="preserve">Nutrition labelling requirements for small packages would be </w:t>
            </w:r>
            <w:r w:rsidRPr="008C3B67">
              <w:rPr>
                <w:lang w:val="en-NZ"/>
              </w:rPr>
              <w:t>better in Standard 1.2.7, perhaps with an appropriate cross-reference note in Standard 1.2.8</w:t>
            </w:r>
            <w:r>
              <w:rPr>
                <w:lang w:val="en-NZ"/>
              </w:rPr>
              <w:t>.</w:t>
            </w:r>
          </w:p>
          <w:p w14:paraId="41D662F7" w14:textId="77777777" w:rsidR="006A25F7" w:rsidRDefault="006A25F7" w:rsidP="00A91185">
            <w:pPr>
              <w:pStyle w:val="Table2"/>
              <w:rPr>
                <w:b w:val="0"/>
              </w:rPr>
            </w:pPr>
          </w:p>
          <w:p w14:paraId="6F7C3227" w14:textId="10DA0C6E" w:rsidR="00107C06" w:rsidRPr="00743003" w:rsidRDefault="0031592E" w:rsidP="008F0334">
            <w:pPr>
              <w:pStyle w:val="Table2"/>
              <w:rPr>
                <w:b w:val="0"/>
              </w:rPr>
            </w:pPr>
            <w:r w:rsidRPr="00743003">
              <w:t>A cross reference to the appropriate requirements in 1.2.8 which are triggered by the claim(s) would be useful.</w:t>
            </w:r>
          </w:p>
        </w:tc>
        <w:tc>
          <w:tcPr>
            <w:tcW w:w="1817" w:type="dxa"/>
            <w:tcBorders>
              <w:top w:val="single" w:sz="4" w:space="0" w:color="auto"/>
              <w:left w:val="single" w:sz="4" w:space="0" w:color="auto"/>
              <w:bottom w:val="single" w:sz="4" w:space="0" w:color="auto"/>
              <w:right w:val="single" w:sz="4" w:space="0" w:color="auto"/>
            </w:tcBorders>
          </w:tcPr>
          <w:p w14:paraId="0A9CF543" w14:textId="77777777" w:rsidR="0031592E" w:rsidRPr="00E77C84" w:rsidRDefault="0031592E" w:rsidP="00A91185">
            <w:pPr>
              <w:pStyle w:val="Table2"/>
              <w:cnfStyle w:val="000000100000" w:firstRow="0" w:lastRow="0" w:firstColumn="0" w:lastColumn="0" w:oddVBand="0" w:evenVBand="0" w:oddHBand="1" w:evenHBand="0" w:firstRowFirstColumn="0" w:firstRowLastColumn="0" w:lastRowFirstColumn="0" w:lastRowLastColumn="0"/>
            </w:pPr>
            <w:r w:rsidRPr="00E77C84">
              <w:t>AFGC</w:t>
            </w:r>
          </w:p>
          <w:p w14:paraId="4279BED1" w14:textId="77777777" w:rsidR="0031592E" w:rsidRPr="00E77C84"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539A2999" w14:textId="77777777" w:rsidR="0031592E" w:rsidRPr="00E77C84"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5C3AABF8" w14:textId="77777777" w:rsidR="0031592E" w:rsidRPr="00E77C84"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51E43DAE" w14:textId="77777777" w:rsidR="0031592E" w:rsidRPr="00E77C84"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3C1F2E54" w14:textId="77777777" w:rsidR="0031592E"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7CF0211F" w14:textId="77777777" w:rsidR="003A471E" w:rsidRPr="00E77C84" w:rsidRDefault="003A471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5B27A83C" w14:textId="14EBC0D0" w:rsidR="006A25F7" w:rsidRPr="00E77C84" w:rsidRDefault="006A25F7" w:rsidP="00A91185">
            <w:pPr>
              <w:pStyle w:val="Table2"/>
              <w:ind w:left="0" w:firstLine="0"/>
              <w:cnfStyle w:val="000000100000" w:firstRow="0" w:lastRow="0" w:firstColumn="0" w:lastColumn="0" w:oddVBand="0" w:evenVBand="0" w:oddHBand="1" w:evenHBand="0" w:firstRowFirstColumn="0" w:firstRowLastColumn="0" w:lastRowFirstColumn="0" w:lastRowLastColumn="0"/>
            </w:pPr>
            <w:r w:rsidRPr="00E77C84">
              <w:t>AFGC</w:t>
            </w:r>
          </w:p>
          <w:p w14:paraId="1B6DDD9E" w14:textId="77777777" w:rsidR="006A25F7" w:rsidRDefault="006A25F7"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23339A13" w14:textId="77777777" w:rsidR="003A471E" w:rsidRDefault="003A471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0DAA8F77" w14:textId="77777777" w:rsidR="003A471E" w:rsidRDefault="003A471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634E836C" w14:textId="77777777" w:rsidR="003A471E" w:rsidRPr="00E77C84" w:rsidRDefault="003A471E" w:rsidP="00A91185">
            <w:pPr>
              <w:pStyle w:val="Table2"/>
              <w:ind w:left="0" w:firstLine="0"/>
              <w:cnfStyle w:val="000000100000" w:firstRow="0" w:lastRow="0" w:firstColumn="0" w:lastColumn="0" w:oddVBand="0" w:evenVBand="0" w:oddHBand="1" w:evenHBand="0" w:firstRowFirstColumn="0" w:firstRowLastColumn="0" w:lastRowFirstColumn="0" w:lastRowLastColumn="0"/>
            </w:pPr>
          </w:p>
          <w:p w14:paraId="5FCCBC02" w14:textId="4F5D0EFC" w:rsidR="0031592E" w:rsidRPr="00E77C84" w:rsidRDefault="0031592E" w:rsidP="00A91185">
            <w:pPr>
              <w:pStyle w:val="Table2"/>
              <w:ind w:left="0" w:firstLine="0"/>
              <w:cnfStyle w:val="000000100000" w:firstRow="0" w:lastRow="0" w:firstColumn="0" w:lastColumn="0" w:oddVBand="0" w:evenVBand="0" w:oddHBand="1" w:evenHBand="0" w:firstRowFirstColumn="0" w:firstRowLastColumn="0" w:lastRowFirstColumn="0" w:lastRowLastColumn="0"/>
            </w:pPr>
            <w:r w:rsidRPr="00E77C84">
              <w:t>M</w:t>
            </w:r>
            <w:r w:rsidR="00130123" w:rsidRPr="00E77C84">
              <w:t xml:space="preserve">inistry for </w:t>
            </w:r>
            <w:r w:rsidRPr="00E77C84">
              <w:t>P</w:t>
            </w:r>
            <w:r w:rsidR="00130123" w:rsidRPr="00E77C84">
              <w:t>rimary Industries (MPI)</w:t>
            </w:r>
            <w:r w:rsidRPr="00E77C84">
              <w:t>I</w:t>
            </w:r>
          </w:p>
        </w:tc>
        <w:tc>
          <w:tcPr>
            <w:tcW w:w="7885" w:type="dxa"/>
            <w:tcBorders>
              <w:top w:val="single" w:sz="4" w:space="0" w:color="auto"/>
              <w:left w:val="single" w:sz="4" w:space="0" w:color="auto"/>
              <w:bottom w:val="single" w:sz="4" w:space="0" w:color="auto"/>
              <w:right w:val="single" w:sz="4" w:space="0" w:color="auto"/>
            </w:tcBorders>
          </w:tcPr>
          <w:p w14:paraId="20E69B55" w14:textId="0D630DA6" w:rsidR="008631EB" w:rsidRPr="00E242F4" w:rsidRDefault="008631EB" w:rsidP="008631EB">
            <w:pPr>
              <w:pStyle w:val="Table2"/>
              <w:cnfStyle w:val="000000100000" w:firstRow="0" w:lastRow="0" w:firstColumn="0" w:lastColumn="0" w:oddVBand="0" w:evenVBand="0" w:oddHBand="1" w:evenHBand="0" w:firstRowFirstColumn="0" w:firstRowLastColumn="0" w:lastRowFirstColumn="0" w:lastRowLastColumn="0"/>
            </w:pPr>
            <w:r w:rsidRPr="00E242F4">
              <w:t>Requirements for additional labelling that is triggered by a nutrition content claim or health claim are currently specified in either Standard 1.2.7 or 1.2.8</w:t>
            </w:r>
            <w:r w:rsidR="00460E03" w:rsidRPr="00E242F4">
              <w:t xml:space="preserve"> </w:t>
            </w:r>
            <w:r w:rsidR="004D3026">
              <w:t>in the current Code</w:t>
            </w:r>
            <w:r w:rsidRPr="00E242F4">
              <w:t>,</w:t>
            </w:r>
            <w:r w:rsidR="00F2506F" w:rsidRPr="00E242F4">
              <w:t xml:space="preserve"> depending on the requirement.</w:t>
            </w:r>
            <w:r w:rsidRPr="00E242F4">
              <w:t xml:space="preserve"> FSANZ consider</w:t>
            </w:r>
            <w:r w:rsidR="00F2506F" w:rsidRPr="00E242F4">
              <w:t>s</w:t>
            </w:r>
            <w:r w:rsidRPr="00E242F4">
              <w:t xml:space="preserve"> that as the requirements relate to declarations in the </w:t>
            </w:r>
            <w:r w:rsidR="00E77C84" w:rsidRPr="00E242F4">
              <w:t>NIP</w:t>
            </w:r>
            <w:r w:rsidRPr="00E242F4">
              <w:t xml:space="preserve"> (or similar, in the case of small packages) the appropriate standard for all such additional labelling r</w:t>
            </w:r>
            <w:r w:rsidR="00F2506F" w:rsidRPr="00E242F4">
              <w:t xml:space="preserve">equirements is Standard 1.2.8. In addition, the location in Standard 1.2.8 corresponds with </w:t>
            </w:r>
            <w:r w:rsidR="000A2D3F" w:rsidRPr="00E242F4">
              <w:t>current</w:t>
            </w:r>
            <w:r w:rsidR="00F2506F" w:rsidRPr="00E242F4">
              <w:t xml:space="preserve"> provisions in Standard 1.2.1 which set out the requirements for food for sale to bear a label or have other information provided (as these refer to Standard 1.2.8 not 1.2.7). </w:t>
            </w:r>
          </w:p>
          <w:p w14:paraId="29013FAD" w14:textId="77777777" w:rsidR="0034127E" w:rsidRPr="00E242F4" w:rsidRDefault="0034127E" w:rsidP="008631EB">
            <w:pPr>
              <w:pStyle w:val="Table2"/>
              <w:cnfStyle w:val="000000100000" w:firstRow="0" w:lastRow="0" w:firstColumn="0" w:lastColumn="0" w:oddVBand="0" w:evenVBand="0" w:oddHBand="1" w:evenHBand="0" w:firstRowFirstColumn="0" w:firstRowLastColumn="0" w:lastRowFirstColumn="0" w:lastRowLastColumn="0"/>
            </w:pPr>
          </w:p>
          <w:p w14:paraId="4FBDFAF5" w14:textId="47F34E66" w:rsidR="0031592E" w:rsidRPr="00E77C84" w:rsidRDefault="00130123" w:rsidP="00352897">
            <w:pPr>
              <w:pStyle w:val="Table2"/>
              <w:cnfStyle w:val="000000100000" w:firstRow="0" w:lastRow="0" w:firstColumn="0" w:lastColumn="0" w:oddVBand="0" w:evenVBand="0" w:oddHBand="1" w:evenHBand="0" w:firstRowFirstColumn="0" w:firstRowLastColumn="0" w:lastRowFirstColumn="0" w:lastRowLastColumn="0"/>
            </w:pPr>
            <w:r w:rsidRPr="00E242F4">
              <w:t xml:space="preserve">A note to refer to additional nutrition labelling requirements in Standard 1.2.8 has been included in </w:t>
            </w:r>
            <w:r w:rsidR="008631EB" w:rsidRPr="00E242F4">
              <w:t>St</w:t>
            </w:r>
            <w:r w:rsidRPr="00E242F4">
              <w:t>andar</w:t>
            </w:r>
            <w:r w:rsidR="008631EB" w:rsidRPr="00E242F4">
              <w:t>d 1.2.7</w:t>
            </w:r>
            <w:r w:rsidR="00460E03" w:rsidRPr="00E242F4">
              <w:t xml:space="preserve"> (of both the current and revised Codes)</w:t>
            </w:r>
            <w:r w:rsidRPr="00E242F4">
              <w:t>.</w:t>
            </w:r>
            <w:r w:rsidRPr="00E77C84">
              <w:t xml:space="preserve"> </w:t>
            </w:r>
          </w:p>
        </w:tc>
      </w:tr>
      <w:tr w:rsidR="004E7B2D" w14:paraId="1F18328B"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13654" w:type="dxa"/>
            <w:gridSpan w:val="3"/>
            <w:tcBorders>
              <w:top w:val="single" w:sz="4" w:space="0" w:color="auto"/>
              <w:left w:val="single" w:sz="4" w:space="0" w:color="auto"/>
              <w:bottom w:val="single" w:sz="4" w:space="0" w:color="auto"/>
              <w:right w:val="single" w:sz="4" w:space="0" w:color="auto"/>
            </w:tcBorders>
          </w:tcPr>
          <w:p w14:paraId="2A5E9E41" w14:textId="77777777" w:rsidR="004E7B2D" w:rsidRDefault="008F0334" w:rsidP="009279C4">
            <w:pPr>
              <w:pStyle w:val="Table2"/>
              <w:keepNext/>
            </w:pPr>
            <w:r>
              <w:lastRenderedPageBreak/>
              <w:t xml:space="preserve">Standard 1.2.8, </w:t>
            </w:r>
            <w:r w:rsidR="004E7B2D" w:rsidRPr="008A452E">
              <w:t>Percentage DI or RDI information presented outside the panel</w:t>
            </w:r>
          </w:p>
          <w:p w14:paraId="61E16623" w14:textId="420B11C0" w:rsidR="00656A01" w:rsidRDefault="00656A01" w:rsidP="00A91185">
            <w:pPr>
              <w:pStyle w:val="Table2"/>
            </w:pPr>
          </w:p>
        </w:tc>
      </w:tr>
      <w:tr w:rsidR="004E7B2D" w14:paraId="568A1A82"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cantSplit/>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72D31E2A" w14:textId="27C0CBCF" w:rsidR="0031592E" w:rsidRPr="00743003" w:rsidRDefault="0031592E" w:rsidP="00AD4F1B">
            <w:pPr>
              <w:pStyle w:val="Table2"/>
              <w:rPr>
                <w:b w:val="0"/>
              </w:rPr>
            </w:pPr>
            <w:r>
              <w:t>A</w:t>
            </w:r>
            <w:r w:rsidRPr="008D52D8">
              <w:t>gree except concerning the comment that</w:t>
            </w:r>
            <w:r w:rsidR="008F0334">
              <w:t xml:space="preserve"> once a statement is shown ‘</w:t>
            </w:r>
            <w:r w:rsidRPr="008D52D8">
              <w:t>outside the NIP</w:t>
            </w:r>
            <w:r w:rsidR="008F0334">
              <w:t>’</w:t>
            </w:r>
            <w:r w:rsidR="00AD4F1B">
              <w:t xml:space="preserve"> </w:t>
            </w:r>
            <w:r w:rsidR="008F0334">
              <w:t xml:space="preserve">that statement </w:t>
            </w:r>
            <w:r w:rsidR="00E77C84">
              <w:t>is</w:t>
            </w:r>
            <w:r w:rsidR="008F0334">
              <w:t xml:space="preserve"> a ‘</w:t>
            </w:r>
            <w:r w:rsidRPr="007A1E0C">
              <w:t>claim</w:t>
            </w:r>
            <w:r w:rsidR="008F0334">
              <w:t>’ or a ‘</w:t>
            </w:r>
            <w:r w:rsidRPr="007A1E0C">
              <w:t>nutrition claim</w:t>
            </w:r>
            <w:r w:rsidR="008F0334">
              <w:t>’</w:t>
            </w:r>
            <w:r w:rsidRPr="007A1E0C">
              <w:t xml:space="preserve"> and </w:t>
            </w:r>
            <w:r w:rsidR="00E77C84">
              <w:t xml:space="preserve">with </w:t>
            </w:r>
            <w:r w:rsidRPr="007A1E0C">
              <w:t>consequential ramifications.</w:t>
            </w:r>
          </w:p>
        </w:tc>
        <w:tc>
          <w:tcPr>
            <w:tcW w:w="1817" w:type="dxa"/>
            <w:tcBorders>
              <w:top w:val="single" w:sz="4" w:space="0" w:color="auto"/>
              <w:left w:val="single" w:sz="4" w:space="0" w:color="auto"/>
              <w:bottom w:val="single" w:sz="4" w:space="0" w:color="auto"/>
              <w:right w:val="single" w:sz="4" w:space="0" w:color="auto"/>
            </w:tcBorders>
          </w:tcPr>
          <w:p w14:paraId="28391EE1" w14:textId="59972D8C" w:rsidR="0031592E" w:rsidRPr="008F0334" w:rsidRDefault="008F0334" w:rsidP="00A91185">
            <w:pPr>
              <w:pStyle w:val="Table2"/>
              <w:cnfStyle w:val="000000100000" w:firstRow="0" w:lastRow="0" w:firstColumn="0" w:lastColumn="0" w:oddVBand="0" w:evenVBand="0" w:oddHBand="1" w:evenHBand="0" w:firstRowFirstColumn="0" w:firstRowLastColumn="0" w:lastRowFirstColumn="0" w:lastRowLastColumn="0"/>
            </w:pPr>
            <w:r w:rsidRPr="008F0334">
              <w:t>Food Technology Association of Australia (</w:t>
            </w:r>
            <w:r w:rsidR="0031592E" w:rsidRPr="008F0334">
              <w:t>FTAA</w:t>
            </w:r>
            <w:r w:rsidRPr="008F0334">
              <w:t>)</w:t>
            </w:r>
          </w:p>
        </w:tc>
        <w:tc>
          <w:tcPr>
            <w:tcW w:w="7885" w:type="dxa"/>
            <w:tcBorders>
              <w:top w:val="single" w:sz="4" w:space="0" w:color="auto"/>
              <w:left w:val="single" w:sz="4" w:space="0" w:color="auto"/>
              <w:bottom w:val="single" w:sz="4" w:space="0" w:color="auto"/>
              <w:right w:val="single" w:sz="4" w:space="0" w:color="auto"/>
            </w:tcBorders>
          </w:tcPr>
          <w:p w14:paraId="0516CB83" w14:textId="038A0F63" w:rsidR="008F0334" w:rsidRDefault="005D043E" w:rsidP="0068528A">
            <w:pPr>
              <w:pStyle w:val="Table2"/>
              <w:cnfStyle w:val="000000100000" w:firstRow="0" w:lastRow="0" w:firstColumn="0" w:lastColumn="0" w:oddVBand="0" w:evenVBand="0" w:oddHBand="1" w:evenHBand="0" w:firstRowFirstColumn="0" w:firstRowLastColumn="0" w:lastRowFirstColumn="0" w:lastRowLastColumn="0"/>
            </w:pPr>
            <w:r>
              <w:t xml:space="preserve">The provision in </w:t>
            </w:r>
            <w:r w:rsidR="00460E03">
              <w:t xml:space="preserve">clause 7B Standard 1.2.8 </w:t>
            </w:r>
            <w:r w:rsidR="004D3026">
              <w:t>in the current Code</w:t>
            </w:r>
            <w:r w:rsidR="00460E03">
              <w:t xml:space="preserve"> (</w:t>
            </w:r>
            <w:r w:rsidR="0068528A">
              <w:t>section</w:t>
            </w:r>
            <w:r>
              <w:t xml:space="preserve"> 1.2.8</w:t>
            </w:r>
            <w:r w:rsidRPr="00D80068">
              <w:t>—</w:t>
            </w:r>
            <w:r w:rsidR="00C07E8A">
              <w:t>10</w:t>
            </w:r>
            <w:r w:rsidR="00460E03">
              <w:t xml:space="preserve"> </w:t>
            </w:r>
            <w:r w:rsidR="004D3026">
              <w:t>in the revised Code</w:t>
            </w:r>
            <w:r w:rsidR="008F0334">
              <w:t>)</w:t>
            </w:r>
            <w:r w:rsidR="00C07E8A">
              <w:t>, that the %DI and %RDI information presented in accordance with that clause does not constitute a nutrition content claim was determined as part of P293</w:t>
            </w:r>
            <w:r w:rsidR="008F0334">
              <w:t xml:space="preserve">. This was to allow </w:t>
            </w:r>
            <w:r w:rsidR="008F0334" w:rsidRPr="00E520D2">
              <w:t xml:space="preserve">the option of providing </w:t>
            </w:r>
            <w:r w:rsidR="00361B58">
              <w:t xml:space="preserve">nutrition </w:t>
            </w:r>
            <w:r w:rsidR="008F0334" w:rsidRPr="00E520D2">
              <w:t xml:space="preserve">information to consumers in a more visible format </w:t>
            </w:r>
            <w:r w:rsidR="008F0334">
              <w:t xml:space="preserve">(than in the NIP) </w:t>
            </w:r>
            <w:r w:rsidR="008F0334" w:rsidRPr="00E520D2">
              <w:t xml:space="preserve">and not to </w:t>
            </w:r>
            <w:r w:rsidR="008F0334">
              <w:t xml:space="preserve">restrict the information to </w:t>
            </w:r>
            <w:r w:rsidR="00352897">
              <w:t xml:space="preserve">only </w:t>
            </w:r>
            <w:r w:rsidR="008F0334">
              <w:t>those</w:t>
            </w:r>
            <w:r w:rsidR="008F0334" w:rsidRPr="00E520D2">
              <w:t xml:space="preserve"> products</w:t>
            </w:r>
            <w:r w:rsidR="008F0334">
              <w:t xml:space="preserve"> that meet claim conditions. </w:t>
            </w:r>
          </w:p>
        </w:tc>
      </w:tr>
      <w:tr w:rsidR="004E7B2D" w14:paraId="28D57EB3"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0B27D6BB" w14:textId="54073993" w:rsidR="00BF1F5E" w:rsidRPr="00743003" w:rsidRDefault="0031592E" w:rsidP="00E77C84">
            <w:pPr>
              <w:pStyle w:val="Table2"/>
              <w:rPr>
                <w:b w:val="0"/>
              </w:rPr>
            </w:pPr>
            <w:r w:rsidRPr="00AC7335">
              <w:t xml:space="preserve">Not supportive of %DI labels for energy alone being permitted outside the NIP. To encourage the use of the HSR system, %DI for energy alone should only be permitted when used in conjunction with the HSR together with the energy content icon. An exemption may apply to small packs but that icon should be required to include kilojoule information. This would reflect the intention in the HSR system </w:t>
            </w:r>
            <w:r w:rsidR="008F0334" w:rsidRPr="00AC7335">
              <w:t>Style G</w:t>
            </w:r>
            <w:r w:rsidRPr="00AC7335">
              <w:t>uide</w:t>
            </w:r>
            <w:r w:rsidR="004E7B2D" w:rsidRPr="00AC7335">
              <w:t>.</w:t>
            </w:r>
            <w:r w:rsidR="004E7B2D">
              <w:t xml:space="preserve"> </w:t>
            </w:r>
          </w:p>
        </w:tc>
        <w:tc>
          <w:tcPr>
            <w:tcW w:w="1817" w:type="dxa"/>
            <w:tcBorders>
              <w:top w:val="single" w:sz="4" w:space="0" w:color="auto"/>
              <w:left w:val="single" w:sz="4" w:space="0" w:color="auto"/>
              <w:bottom w:val="single" w:sz="4" w:space="0" w:color="auto"/>
              <w:right w:val="single" w:sz="4" w:space="0" w:color="auto"/>
            </w:tcBorders>
          </w:tcPr>
          <w:p w14:paraId="12656DD2" w14:textId="1F38AA52" w:rsidR="0031592E" w:rsidRDefault="008F0334" w:rsidP="00A91185">
            <w:pPr>
              <w:pStyle w:val="Table2"/>
              <w:cnfStyle w:val="000000010000" w:firstRow="0" w:lastRow="0" w:firstColumn="0" w:lastColumn="0" w:oddVBand="0" w:evenVBand="0" w:oddHBand="0" w:evenHBand="1" w:firstRowFirstColumn="0" w:firstRowLastColumn="0" w:lastRowFirstColumn="0" w:lastRowLastColumn="0"/>
            </w:pPr>
            <w:r w:rsidRPr="008F0334">
              <w:t>Obesity Policy Coalition (</w:t>
            </w:r>
            <w:r w:rsidR="0031592E" w:rsidRPr="008F0334">
              <w:t>OPC</w:t>
            </w:r>
            <w:r w:rsidRPr="008F0334">
              <w:t>)</w:t>
            </w:r>
          </w:p>
        </w:tc>
        <w:tc>
          <w:tcPr>
            <w:tcW w:w="7885" w:type="dxa"/>
            <w:tcBorders>
              <w:top w:val="single" w:sz="4" w:space="0" w:color="auto"/>
              <w:left w:val="single" w:sz="4" w:space="0" w:color="auto"/>
              <w:bottom w:val="single" w:sz="4" w:space="0" w:color="auto"/>
              <w:right w:val="single" w:sz="4" w:space="0" w:color="auto"/>
            </w:tcBorders>
          </w:tcPr>
          <w:p w14:paraId="7DAA0C2B" w14:textId="2FF4911D" w:rsidR="00317C62" w:rsidRPr="00AB0C68" w:rsidRDefault="00317C62" w:rsidP="00317C62">
            <w:pPr>
              <w:pStyle w:val="Table2"/>
              <w:cnfStyle w:val="000000010000" w:firstRow="0" w:lastRow="0" w:firstColumn="0" w:lastColumn="0" w:oddVBand="0" w:evenVBand="0" w:oddHBand="0" w:evenHBand="1" w:firstRowFirstColumn="0" w:firstRowLastColumn="0" w:lastRowFirstColumn="0" w:lastRowLastColumn="0"/>
            </w:pPr>
            <w:r w:rsidRPr="00AB0C68">
              <w:t>This issue relates to operation of the HSR system and is outside the scope of this proposal.</w:t>
            </w:r>
          </w:p>
          <w:p w14:paraId="31C9E150" w14:textId="1973166A" w:rsidR="0031592E" w:rsidRDefault="0031592E" w:rsidP="00C54316">
            <w:pPr>
              <w:pStyle w:val="Table2"/>
              <w:cnfStyle w:val="000000010000" w:firstRow="0" w:lastRow="0" w:firstColumn="0" w:lastColumn="0" w:oddVBand="0" w:evenVBand="0" w:oddHBand="0" w:evenHBand="1" w:firstRowFirstColumn="0" w:firstRowLastColumn="0" w:lastRowFirstColumn="0" w:lastRowLastColumn="0"/>
            </w:pPr>
          </w:p>
        </w:tc>
      </w:tr>
      <w:tr w:rsidR="004E7B2D" w14:paraId="0BECBE19"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216A5B31" w14:textId="1844D3FC" w:rsidR="0031592E" w:rsidRPr="00743003" w:rsidRDefault="0031592E" w:rsidP="006C0B6B">
            <w:pPr>
              <w:pStyle w:val="Table2"/>
              <w:rPr>
                <w:b w:val="0"/>
              </w:rPr>
            </w:pPr>
            <w:r w:rsidRPr="00710124">
              <w:t xml:space="preserve">Note the potential impact of the outcome of FSANZ’s current consideration of Labelling Review Recommendation 17. If average quantity per serve information will no longer be mandatory in the NIP, it will be vital that FSANZ proceed as proposed to require that this information be mandatory if a %DI claim is made outside the NIP. </w:t>
            </w:r>
          </w:p>
        </w:tc>
        <w:tc>
          <w:tcPr>
            <w:tcW w:w="1817" w:type="dxa"/>
            <w:tcBorders>
              <w:top w:val="single" w:sz="4" w:space="0" w:color="auto"/>
              <w:left w:val="single" w:sz="4" w:space="0" w:color="auto"/>
              <w:bottom w:val="single" w:sz="4" w:space="0" w:color="auto"/>
              <w:right w:val="single" w:sz="4" w:space="0" w:color="auto"/>
            </w:tcBorders>
          </w:tcPr>
          <w:p w14:paraId="08392931" w14:textId="77777777" w:rsidR="0031592E" w:rsidRDefault="0031592E" w:rsidP="00A91185">
            <w:pPr>
              <w:pStyle w:val="Table2"/>
              <w:cnfStyle w:val="000000100000" w:firstRow="0" w:lastRow="0" w:firstColumn="0" w:lastColumn="0" w:oddVBand="0" w:evenVBand="0" w:oddHBand="1" w:evenHBand="0" w:firstRowFirstColumn="0" w:firstRowLastColumn="0" w:lastRowFirstColumn="0" w:lastRowLastColumn="0"/>
            </w:pPr>
            <w:r>
              <w:t>OPC</w:t>
            </w:r>
          </w:p>
        </w:tc>
        <w:tc>
          <w:tcPr>
            <w:tcW w:w="7885" w:type="dxa"/>
            <w:tcBorders>
              <w:top w:val="single" w:sz="4" w:space="0" w:color="auto"/>
              <w:left w:val="single" w:sz="4" w:space="0" w:color="auto"/>
              <w:bottom w:val="single" w:sz="4" w:space="0" w:color="auto"/>
              <w:right w:val="single" w:sz="4" w:space="0" w:color="auto"/>
            </w:tcBorders>
          </w:tcPr>
          <w:p w14:paraId="29C5E9DD" w14:textId="546FC107" w:rsidR="0031592E" w:rsidRDefault="0031592E" w:rsidP="00A91185">
            <w:pPr>
              <w:pStyle w:val="Table2"/>
              <w:cnfStyle w:val="000000100000" w:firstRow="0" w:lastRow="0" w:firstColumn="0" w:lastColumn="0" w:oddVBand="0" w:evenVBand="0" w:oddHBand="1" w:evenHBand="0" w:firstRowFirstColumn="0" w:firstRowLastColumn="0" w:lastRowFirstColumn="0" w:lastRowLastColumn="0"/>
            </w:pPr>
            <w:r>
              <w:t xml:space="preserve">Noted. </w:t>
            </w:r>
            <w:r w:rsidR="00E77C84">
              <w:t xml:space="preserve">It is anticipated that outcomes from the FSANZ work on recommendation 17 will be released late in 2015. </w:t>
            </w:r>
          </w:p>
          <w:p w14:paraId="28A98F57" w14:textId="62ADF36F" w:rsidR="0031592E" w:rsidRDefault="0031592E" w:rsidP="00A91185">
            <w:pPr>
              <w:pStyle w:val="Table2"/>
              <w:cnfStyle w:val="000000100000" w:firstRow="0" w:lastRow="0" w:firstColumn="0" w:lastColumn="0" w:oddVBand="0" w:evenVBand="0" w:oddHBand="1" w:evenHBand="0" w:firstRowFirstColumn="0" w:firstRowLastColumn="0" w:lastRowFirstColumn="0" w:lastRowLastColumn="0"/>
            </w:pPr>
          </w:p>
        </w:tc>
      </w:tr>
      <w:tr w:rsidR="004E7B2D" w:rsidRPr="0069263B" w14:paraId="16166116"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313E6BA3" w14:textId="15D08CE7" w:rsidR="0031592E" w:rsidRPr="00F01880" w:rsidRDefault="0031592E" w:rsidP="00A91185">
            <w:pPr>
              <w:pStyle w:val="Table2"/>
              <w:rPr>
                <w:b w:val="0"/>
              </w:rPr>
            </w:pPr>
            <w:r>
              <w:t xml:space="preserve">Does the drafting </w:t>
            </w:r>
            <w:r w:rsidR="007C242D">
              <w:t>permit</w:t>
            </w:r>
            <w:r w:rsidR="00617CD5">
              <w:t xml:space="preserve"> %DI for energy use across the reference measures permitted by HSR system generally and/or specifically for </w:t>
            </w:r>
            <w:r w:rsidR="00617CD5" w:rsidRPr="00F01880">
              <w:t>confectionery?</w:t>
            </w:r>
          </w:p>
          <w:p w14:paraId="42B406BC" w14:textId="77777777" w:rsidR="0031592E" w:rsidRDefault="0031592E" w:rsidP="00A91185">
            <w:pPr>
              <w:pStyle w:val="Table2"/>
              <w:rPr>
                <w:b w:val="0"/>
              </w:rPr>
            </w:pPr>
          </w:p>
          <w:p w14:paraId="06B1AE95" w14:textId="65756331" w:rsidR="0094207B" w:rsidRDefault="00617CD5" w:rsidP="00A91185">
            <w:pPr>
              <w:pStyle w:val="Table2"/>
              <w:rPr>
                <w:b w:val="0"/>
              </w:rPr>
            </w:pPr>
            <w:r>
              <w:t>R</w:t>
            </w:r>
            <w:r w:rsidRPr="0069263B">
              <w:t xml:space="preserve">ecommend that Standard 1.2.8 is clarified to ensure %DI </w:t>
            </w:r>
            <w:r>
              <w:t xml:space="preserve">for </w:t>
            </w:r>
            <w:r w:rsidRPr="0069263B">
              <w:t>energy may be presented with the HSR energy icons, either alone or together with the other nutrient icons, on a ‘per pack’; ‘per serve’; and ‘per [reference] portion’ (with respect to confectionery in multipacks); to avoid doubt.</w:t>
            </w:r>
          </w:p>
          <w:p w14:paraId="27EB36D5" w14:textId="5DA56C4F" w:rsidR="000575D3" w:rsidRPr="0069263B" w:rsidRDefault="000575D3" w:rsidP="00440831">
            <w:pPr>
              <w:pStyle w:val="Table2"/>
              <w:rPr>
                <w:b w:val="0"/>
              </w:rPr>
            </w:pPr>
          </w:p>
        </w:tc>
        <w:tc>
          <w:tcPr>
            <w:tcW w:w="1817" w:type="dxa"/>
            <w:tcBorders>
              <w:top w:val="single" w:sz="4" w:space="0" w:color="auto"/>
              <w:left w:val="single" w:sz="4" w:space="0" w:color="auto"/>
              <w:bottom w:val="single" w:sz="4" w:space="0" w:color="auto"/>
              <w:right w:val="single" w:sz="4" w:space="0" w:color="auto"/>
            </w:tcBorders>
          </w:tcPr>
          <w:p w14:paraId="05A357C2" w14:textId="0E2A40AA" w:rsidR="0031592E" w:rsidRPr="0069263B" w:rsidRDefault="00DC0FCC" w:rsidP="00A91185">
            <w:pPr>
              <w:pStyle w:val="Table2"/>
              <w:cnfStyle w:val="000000010000" w:firstRow="0" w:lastRow="0" w:firstColumn="0" w:lastColumn="0" w:oddVBand="0" w:evenVBand="0" w:oddHBand="0" w:evenHBand="1" w:firstRowFirstColumn="0" w:firstRowLastColumn="0" w:lastRowFirstColumn="0" w:lastRowLastColumn="0"/>
            </w:pPr>
            <w:r>
              <w:t>Ai</w:t>
            </w:r>
            <w:r w:rsidR="0031592E" w:rsidRPr="0069263B">
              <w:t xml:space="preserve"> Group</w:t>
            </w:r>
          </w:p>
          <w:p w14:paraId="666A60CD" w14:textId="77777777" w:rsidR="0031592E" w:rsidRPr="0069263B" w:rsidRDefault="0031592E" w:rsidP="00A91185">
            <w:pPr>
              <w:pStyle w:val="Table2"/>
              <w:cnfStyle w:val="000000010000" w:firstRow="0" w:lastRow="0" w:firstColumn="0" w:lastColumn="0" w:oddVBand="0" w:evenVBand="0" w:oddHBand="0" w:evenHBand="1" w:firstRowFirstColumn="0" w:firstRowLastColumn="0" w:lastRowFirstColumn="0" w:lastRowLastColumn="0"/>
            </w:pPr>
          </w:p>
        </w:tc>
        <w:tc>
          <w:tcPr>
            <w:tcW w:w="7885" w:type="dxa"/>
            <w:tcBorders>
              <w:top w:val="single" w:sz="4" w:space="0" w:color="auto"/>
              <w:left w:val="single" w:sz="4" w:space="0" w:color="auto"/>
              <w:bottom w:val="single" w:sz="4" w:space="0" w:color="auto"/>
              <w:right w:val="single" w:sz="4" w:space="0" w:color="auto"/>
            </w:tcBorders>
          </w:tcPr>
          <w:p w14:paraId="756DF329" w14:textId="43096440" w:rsidR="0031592E" w:rsidRPr="0069263B" w:rsidRDefault="00617CD5" w:rsidP="00AF44C0">
            <w:pPr>
              <w:pStyle w:val="Table2"/>
              <w:cnfStyle w:val="000000010000" w:firstRow="0" w:lastRow="0" w:firstColumn="0" w:lastColumn="0" w:oddVBand="0" w:evenVBand="0" w:oddHBand="0" w:evenHBand="1" w:firstRowFirstColumn="0" w:firstRowLastColumn="0" w:lastRowFirstColumn="0" w:lastRowLastColumn="0"/>
            </w:pPr>
            <w:r>
              <w:t xml:space="preserve">The Code requires the actual serving size </w:t>
            </w:r>
            <w:r w:rsidR="00DB0B87">
              <w:t xml:space="preserve">to </w:t>
            </w:r>
            <w:r>
              <w:t>be declared, however the wording for presenting the serving size with the %DI declaration is not prescribed.</w:t>
            </w:r>
          </w:p>
        </w:tc>
      </w:tr>
      <w:tr w:rsidR="004E7B2D" w:rsidRPr="0069263B" w14:paraId="06C5F8E8"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cantSplit/>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73973FC3" w14:textId="4396E1D0" w:rsidR="0031592E" w:rsidRPr="0094207B" w:rsidRDefault="0031592E" w:rsidP="00352897">
            <w:pPr>
              <w:pStyle w:val="Table2"/>
              <w:rPr>
                <w:b w:val="0"/>
              </w:rPr>
            </w:pPr>
            <w:r w:rsidRPr="0094207B">
              <w:lastRenderedPageBreak/>
              <w:t xml:space="preserve">Requirement that if more than one piece of %DI information is presented outside the NIP, they are presented together, may have an unintended consequence of preventing %DI energy being presented with HSR and </w:t>
            </w:r>
            <w:r w:rsidR="005C2401">
              <w:t>Daily Intake Guide (</w:t>
            </w:r>
            <w:r w:rsidRPr="0094207B">
              <w:t>DIG</w:t>
            </w:r>
            <w:r w:rsidR="005C2401">
              <w:t>)</w:t>
            </w:r>
            <w:r w:rsidRPr="0094207B">
              <w:t xml:space="preserve"> energy icons, on the same pack</w:t>
            </w:r>
            <w:r w:rsidR="00352897">
              <w:t>.</w:t>
            </w:r>
            <w:r w:rsidR="00457B65" w:rsidRPr="0094207B">
              <w:t xml:space="preserve"> Section 4 of the HSR Style Guide requires that if the HSR system graphic and the DIG are on the same pack, they should be placed so that they do not lead consumers to believe that they are linked or are two parts of a single system. </w:t>
            </w:r>
          </w:p>
        </w:tc>
        <w:tc>
          <w:tcPr>
            <w:tcW w:w="1817" w:type="dxa"/>
            <w:tcBorders>
              <w:top w:val="single" w:sz="4" w:space="0" w:color="auto"/>
              <w:left w:val="single" w:sz="4" w:space="0" w:color="auto"/>
              <w:bottom w:val="single" w:sz="4" w:space="0" w:color="auto"/>
              <w:right w:val="single" w:sz="4" w:space="0" w:color="auto"/>
            </w:tcBorders>
          </w:tcPr>
          <w:p w14:paraId="0C761394" w14:textId="77777777" w:rsidR="0031592E" w:rsidRPr="0069263B" w:rsidRDefault="0031592E" w:rsidP="00A91185">
            <w:pPr>
              <w:pStyle w:val="Table2"/>
              <w:cnfStyle w:val="000000100000" w:firstRow="0" w:lastRow="0" w:firstColumn="0" w:lastColumn="0" w:oddVBand="0" w:evenVBand="0" w:oddHBand="1" w:evenHBand="0" w:firstRowFirstColumn="0" w:firstRowLastColumn="0" w:lastRowFirstColumn="0" w:lastRowLastColumn="0"/>
            </w:pPr>
            <w:r>
              <w:t>Ai Group</w:t>
            </w:r>
          </w:p>
        </w:tc>
        <w:tc>
          <w:tcPr>
            <w:tcW w:w="7885" w:type="dxa"/>
            <w:tcBorders>
              <w:top w:val="single" w:sz="4" w:space="0" w:color="auto"/>
              <w:left w:val="single" w:sz="4" w:space="0" w:color="auto"/>
              <w:bottom w:val="single" w:sz="4" w:space="0" w:color="auto"/>
              <w:right w:val="single" w:sz="4" w:space="0" w:color="auto"/>
            </w:tcBorders>
          </w:tcPr>
          <w:p w14:paraId="4E92D3D5" w14:textId="5202BE81" w:rsidR="003A0E6E" w:rsidRDefault="007F76AC" w:rsidP="00A91185">
            <w:pPr>
              <w:pStyle w:val="Table2"/>
              <w:cnfStyle w:val="000000100000" w:firstRow="0" w:lastRow="0" w:firstColumn="0" w:lastColumn="0" w:oddVBand="0" w:evenVBand="0" w:oddHBand="1" w:evenHBand="0" w:firstRowFirstColumn="0" w:firstRowLastColumn="0" w:lastRowFirstColumn="0" w:lastRowLastColumn="0"/>
            </w:pPr>
            <w:r>
              <w:t>C</w:t>
            </w:r>
            <w:r w:rsidRPr="007F76AC">
              <w:t xml:space="preserve">olocation of two different %DI labelling systems outside of the NIP may be considered to be </w:t>
            </w:r>
            <w:r>
              <w:t xml:space="preserve">consistent with the Code but </w:t>
            </w:r>
            <w:r w:rsidRPr="007F76AC">
              <w:t>inconsistent with the HSR Style Guide.</w:t>
            </w:r>
            <w:r>
              <w:t xml:space="preserve"> </w:t>
            </w:r>
            <w:r w:rsidR="007C3FD6">
              <w:t xml:space="preserve">This is not an issue for P1037. </w:t>
            </w:r>
            <w:r w:rsidR="00AF44C0">
              <w:t>T</w:t>
            </w:r>
            <w:r w:rsidR="003A0E6E">
              <w:t xml:space="preserve">here is no requirement in the Code or the </w:t>
            </w:r>
            <w:r w:rsidR="00457B65">
              <w:t>HSR system</w:t>
            </w:r>
            <w:r>
              <w:t xml:space="preserve"> however,</w:t>
            </w:r>
            <w:r w:rsidR="00457B65">
              <w:t xml:space="preserve"> to include</w:t>
            </w:r>
            <w:r w:rsidR="003A0E6E">
              <w:t xml:space="preserve"> %DI for energy as part of both the HSR scheme and the DIG</w:t>
            </w:r>
            <w:r w:rsidR="00457B65">
              <w:t xml:space="preserve"> on the same food label</w:t>
            </w:r>
            <w:r w:rsidR="003A0E6E">
              <w:t xml:space="preserve">. </w:t>
            </w:r>
          </w:p>
          <w:p w14:paraId="4764F2DE" w14:textId="6CC94AF3" w:rsidR="007F76AC" w:rsidRDefault="007F76AC" w:rsidP="00457B65">
            <w:pPr>
              <w:pStyle w:val="Table2"/>
              <w:cnfStyle w:val="000000100000" w:firstRow="0" w:lastRow="0" w:firstColumn="0" w:lastColumn="0" w:oddVBand="0" w:evenVBand="0" w:oddHBand="1" w:evenHBand="0" w:firstRowFirstColumn="0" w:firstRowLastColumn="0" w:lastRowFirstColumn="0" w:lastRowLastColumn="0"/>
            </w:pPr>
          </w:p>
        </w:tc>
      </w:tr>
      <w:tr w:rsidR="00AF44C0" w14:paraId="50B7202B"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3B4D1B7E" w14:textId="419F10D0" w:rsidR="00AF44C0" w:rsidRPr="00085F4C" w:rsidRDefault="00AF44C0" w:rsidP="00EF28D0">
            <w:pPr>
              <w:pStyle w:val="Table2"/>
              <w:rPr>
                <w:b w:val="0"/>
              </w:rPr>
            </w:pPr>
            <w:r w:rsidRPr="00085F4C">
              <w:t xml:space="preserve">Do </w:t>
            </w:r>
            <w:r w:rsidR="008855EB">
              <w:t>not</w:t>
            </w:r>
            <w:r w:rsidRPr="00085F4C">
              <w:t xml:space="preserve"> support the proposal to further regulate the declaration of %DI information outside the NIP, in terms of requiring certain %DI declarations in NIPs as a pre-condition for stating %DI values outside the NIP. Nothing in the proposal indicates any regulatory failure of the existing provision or provides any basis for further regulation. Such a measure would render some existing labels illegal, meaning that a WTO notification, RIS process, appropriate transitional period and stock-in-trade would all be required.</w:t>
            </w:r>
          </w:p>
          <w:p w14:paraId="1824879E" w14:textId="77777777" w:rsidR="00AF44C0" w:rsidRPr="00085F4C" w:rsidRDefault="00AF44C0" w:rsidP="00EF28D0">
            <w:pPr>
              <w:pStyle w:val="Table2"/>
              <w:rPr>
                <w:b w:val="0"/>
              </w:rPr>
            </w:pPr>
            <w:r w:rsidRPr="00085F4C">
              <w:t>Especially concerned that such a measure is hidden inside a Proposal whose innocuous title and summary fails to identify that such a significant change is contemplated. This measure has the potential for significant impact on the food industry and is a much greater measure than ‘to address inconsistencies and lack of clarity’.</w:t>
            </w:r>
          </w:p>
          <w:p w14:paraId="4C737FE1" w14:textId="77777777" w:rsidR="00AF44C0" w:rsidRPr="008C3B67" w:rsidRDefault="00AF44C0" w:rsidP="00EF28D0">
            <w:pPr>
              <w:pStyle w:val="Table2"/>
              <w:rPr>
                <w:b w:val="0"/>
              </w:rPr>
            </w:pPr>
            <w:r w:rsidRPr="00085F4C">
              <w:t>If it is to proceed then it should be separated from P1037 and progressed separately under a proposal with a more accurate and descriptive title.</w:t>
            </w:r>
            <w:r w:rsidRPr="008C3B67">
              <w:t xml:space="preserve"> </w:t>
            </w:r>
          </w:p>
        </w:tc>
        <w:tc>
          <w:tcPr>
            <w:tcW w:w="1817" w:type="dxa"/>
            <w:tcBorders>
              <w:top w:val="single" w:sz="4" w:space="0" w:color="auto"/>
              <w:left w:val="single" w:sz="4" w:space="0" w:color="auto"/>
              <w:bottom w:val="single" w:sz="4" w:space="0" w:color="auto"/>
              <w:right w:val="single" w:sz="4" w:space="0" w:color="auto"/>
            </w:tcBorders>
          </w:tcPr>
          <w:p w14:paraId="05FDBF85" w14:textId="77777777" w:rsidR="00AF44C0" w:rsidRDefault="00AF44C0" w:rsidP="00EF28D0">
            <w:pPr>
              <w:pStyle w:val="Table2"/>
              <w:cnfStyle w:val="000000010000" w:firstRow="0" w:lastRow="0" w:firstColumn="0" w:lastColumn="0" w:oddVBand="0" w:evenVBand="0" w:oddHBand="0" w:evenHBand="1" w:firstRowFirstColumn="0" w:firstRowLastColumn="0" w:lastRowFirstColumn="0" w:lastRowLastColumn="0"/>
            </w:pPr>
            <w:r>
              <w:t>AFGC</w:t>
            </w:r>
          </w:p>
          <w:p w14:paraId="72A9108E" w14:textId="77777777" w:rsidR="00AF44C0" w:rsidRDefault="00AF44C0" w:rsidP="00EF28D0">
            <w:pPr>
              <w:pStyle w:val="Table2"/>
              <w:cnfStyle w:val="000000010000" w:firstRow="0" w:lastRow="0" w:firstColumn="0" w:lastColumn="0" w:oddVBand="0" w:evenVBand="0" w:oddHBand="0" w:evenHBand="1" w:firstRowFirstColumn="0" w:firstRowLastColumn="0" w:lastRowFirstColumn="0" w:lastRowLastColumn="0"/>
            </w:pPr>
          </w:p>
        </w:tc>
        <w:tc>
          <w:tcPr>
            <w:tcW w:w="7947" w:type="dxa"/>
            <w:gridSpan w:val="2"/>
            <w:tcBorders>
              <w:top w:val="single" w:sz="4" w:space="0" w:color="auto"/>
              <w:left w:val="single" w:sz="4" w:space="0" w:color="auto"/>
              <w:bottom w:val="single" w:sz="4" w:space="0" w:color="auto"/>
              <w:right w:val="single" w:sz="4" w:space="0" w:color="auto"/>
            </w:tcBorders>
          </w:tcPr>
          <w:p w14:paraId="5AECFD1D" w14:textId="711B1F24" w:rsidR="00AF44C0" w:rsidRPr="008D1D14" w:rsidRDefault="00AF44C0" w:rsidP="001E2199">
            <w:pPr>
              <w:pStyle w:val="Table2"/>
              <w:cnfStyle w:val="000000010000" w:firstRow="0" w:lastRow="0" w:firstColumn="0" w:lastColumn="0" w:oddVBand="0" w:evenVBand="0" w:oddHBand="0" w:evenHBand="1" w:firstRowFirstColumn="0" w:firstRowLastColumn="0" w:lastRowFirstColumn="0" w:lastRowLastColumn="0"/>
            </w:pPr>
            <w:r w:rsidRPr="009D44DD">
              <w:t xml:space="preserve">In response to submitter concerns, the draft variation relating to %DI declarations (clause 7B </w:t>
            </w:r>
            <w:r w:rsidR="004D3026">
              <w:t>in the current Code</w:t>
            </w:r>
            <w:r w:rsidRPr="009D44DD">
              <w:t xml:space="preserve"> and section 1.2.8</w:t>
            </w:r>
            <w:r w:rsidR="00D0494A" w:rsidRPr="009D44DD">
              <w:t>—</w:t>
            </w:r>
            <w:r w:rsidRPr="009D44DD">
              <w:t xml:space="preserve">10 </w:t>
            </w:r>
            <w:r w:rsidR="004D3026">
              <w:t>in the revised Code</w:t>
            </w:r>
            <w:r w:rsidRPr="009D44DD">
              <w:t xml:space="preserve">) has been omitted from this Proposal. The </w:t>
            </w:r>
            <w:r w:rsidR="00A54B26" w:rsidRPr="009D44DD">
              <w:t>relevant provisions of the</w:t>
            </w:r>
            <w:r w:rsidR="001E2199">
              <w:t xml:space="preserve"> current and revised</w:t>
            </w:r>
            <w:r w:rsidR="005D043E" w:rsidRPr="009D44DD">
              <w:t xml:space="preserve"> Code</w:t>
            </w:r>
            <w:r w:rsidR="001E2199">
              <w:t>s</w:t>
            </w:r>
            <w:r w:rsidR="005D043E" w:rsidRPr="009D44DD">
              <w:t xml:space="preserve"> </w:t>
            </w:r>
            <w:r w:rsidR="001E2199">
              <w:t>and</w:t>
            </w:r>
            <w:r w:rsidR="00A54B26" w:rsidRPr="009D44DD">
              <w:t xml:space="preserve"> their effect remain unchanged</w:t>
            </w:r>
            <w:r w:rsidR="005D043E" w:rsidRPr="009D44DD">
              <w:t xml:space="preserve">. </w:t>
            </w:r>
            <w:r w:rsidRPr="009D44DD">
              <w:t xml:space="preserve">Refer to </w:t>
            </w:r>
            <w:r w:rsidR="005D043E" w:rsidRPr="009D44DD">
              <w:t>section 2.3.3</w:t>
            </w:r>
            <w:r w:rsidRPr="009D44DD">
              <w:t xml:space="preserve"> for further information.</w:t>
            </w:r>
            <w:r>
              <w:t xml:space="preserve">  </w:t>
            </w:r>
          </w:p>
        </w:tc>
      </w:tr>
      <w:tr w:rsidR="00E16135" w:rsidRPr="0069263B" w14:paraId="6893EF4E"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13654" w:type="dxa"/>
            <w:gridSpan w:val="3"/>
            <w:tcBorders>
              <w:top w:val="single" w:sz="4" w:space="0" w:color="auto"/>
              <w:left w:val="single" w:sz="4" w:space="0" w:color="auto"/>
              <w:bottom w:val="single" w:sz="4" w:space="0" w:color="auto"/>
              <w:right w:val="single" w:sz="4" w:space="0" w:color="auto"/>
            </w:tcBorders>
          </w:tcPr>
          <w:p w14:paraId="05DDC8AF" w14:textId="77777777" w:rsidR="00E16135" w:rsidRDefault="00E16135" w:rsidP="009279C4">
            <w:pPr>
              <w:pStyle w:val="Table2"/>
              <w:pageBreakBefore/>
            </w:pPr>
            <w:r>
              <w:lastRenderedPageBreak/>
              <w:t>OTHER COMMENTS</w:t>
            </w:r>
          </w:p>
          <w:p w14:paraId="2FC6616A" w14:textId="56D1B3C4" w:rsidR="00656A01" w:rsidRDefault="00656A01" w:rsidP="00A91185">
            <w:pPr>
              <w:pStyle w:val="Table2"/>
            </w:pPr>
          </w:p>
        </w:tc>
      </w:tr>
      <w:tr w:rsidR="004E7B2D" w:rsidRPr="0069263B" w14:paraId="5709B248"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1E64887C" w14:textId="59FBEB4C" w:rsidR="0031592E" w:rsidRPr="00685AE4" w:rsidRDefault="0031592E" w:rsidP="00C31018">
            <w:pPr>
              <w:pStyle w:val="Table2"/>
              <w:rPr>
                <w:b w:val="0"/>
              </w:rPr>
            </w:pPr>
            <w:r w:rsidRPr="00781E12">
              <w:t>The Explanatory Notes are not that explanatory, but rather largely repeat the terms of the provision. Given that FSANZ is looking to discontinue user guides and similar documents, improvement in the clarity of the Explanatory notes t</w:t>
            </w:r>
            <w:r w:rsidR="00C31018">
              <w:t>o</w:t>
            </w:r>
            <w:r w:rsidRPr="00781E12">
              <w:t xml:space="preserve"> describe impacts rather than changes would be appropriate.</w:t>
            </w:r>
          </w:p>
        </w:tc>
        <w:tc>
          <w:tcPr>
            <w:tcW w:w="1817" w:type="dxa"/>
            <w:tcBorders>
              <w:top w:val="single" w:sz="4" w:space="0" w:color="auto"/>
              <w:left w:val="single" w:sz="4" w:space="0" w:color="auto"/>
              <w:bottom w:val="single" w:sz="4" w:space="0" w:color="auto"/>
              <w:right w:val="single" w:sz="4" w:space="0" w:color="auto"/>
            </w:tcBorders>
          </w:tcPr>
          <w:p w14:paraId="11D4C235" w14:textId="77777777" w:rsidR="0031592E" w:rsidRDefault="0031592E" w:rsidP="00A91185">
            <w:pPr>
              <w:pStyle w:val="Table2"/>
              <w:cnfStyle w:val="000000010000" w:firstRow="0" w:lastRow="0" w:firstColumn="0" w:lastColumn="0" w:oddVBand="0" w:evenVBand="0" w:oddHBand="0" w:evenHBand="1" w:firstRowFirstColumn="0" w:firstRowLastColumn="0" w:lastRowFirstColumn="0" w:lastRowLastColumn="0"/>
            </w:pPr>
            <w:r>
              <w:t>AFGC</w:t>
            </w:r>
          </w:p>
        </w:tc>
        <w:tc>
          <w:tcPr>
            <w:tcW w:w="7885" w:type="dxa"/>
            <w:tcBorders>
              <w:top w:val="single" w:sz="4" w:space="0" w:color="auto"/>
              <w:left w:val="single" w:sz="4" w:space="0" w:color="auto"/>
              <w:bottom w:val="single" w:sz="4" w:space="0" w:color="auto"/>
              <w:right w:val="single" w:sz="4" w:space="0" w:color="auto"/>
            </w:tcBorders>
          </w:tcPr>
          <w:p w14:paraId="0BA56874" w14:textId="70816B7E" w:rsidR="002006FF" w:rsidRDefault="002006FF" w:rsidP="002006FF">
            <w:pPr>
              <w:pStyle w:val="Table2"/>
              <w:cnfStyle w:val="000000010000" w:firstRow="0" w:lastRow="0" w:firstColumn="0" w:lastColumn="0" w:oddVBand="0" w:evenVBand="0" w:oddHBand="0" w:evenHBand="1" w:firstRowFirstColumn="0" w:firstRowLastColumn="0" w:lastRowFirstColumn="0" w:lastRowLastColumn="0"/>
            </w:pPr>
            <w:r>
              <w:t xml:space="preserve">The </w:t>
            </w:r>
            <w:r w:rsidR="00C31018">
              <w:t>Explanatory Statement</w:t>
            </w:r>
            <w:r>
              <w:t xml:space="preserve"> is to explain in general terms the purpose and operation of the instrument, the legal effect of the amendments and the changes made to</w:t>
            </w:r>
            <w:r w:rsidR="008210B4">
              <w:t xml:space="preserve"> the</w:t>
            </w:r>
            <w:r>
              <w:t xml:space="preserve"> text.</w:t>
            </w:r>
          </w:p>
          <w:p w14:paraId="63A4F12C" w14:textId="77777777" w:rsidR="002006FF" w:rsidRDefault="002006FF" w:rsidP="002006FF">
            <w:pPr>
              <w:pStyle w:val="Table2"/>
              <w:cnfStyle w:val="000000010000" w:firstRow="0" w:lastRow="0" w:firstColumn="0" w:lastColumn="0" w:oddVBand="0" w:evenVBand="0" w:oddHBand="0" w:evenHBand="1" w:firstRowFirstColumn="0" w:firstRowLastColumn="0" w:lastRowFirstColumn="0" w:lastRowLastColumn="0"/>
            </w:pPr>
          </w:p>
          <w:p w14:paraId="0390C49D" w14:textId="7534C99A" w:rsidR="002006FF" w:rsidRDefault="002006FF" w:rsidP="002006FF">
            <w:pPr>
              <w:pStyle w:val="Table2"/>
              <w:cnfStyle w:val="000000010000" w:firstRow="0" w:lastRow="0" w:firstColumn="0" w:lastColumn="0" w:oddVBand="0" w:evenVBand="0" w:oddHBand="0" w:evenHBand="1" w:firstRowFirstColumn="0" w:firstRowLastColumn="0" w:lastRowFirstColumn="0" w:lastRowLastColumn="0"/>
            </w:pPr>
            <w:r>
              <w:t>An E</w:t>
            </w:r>
            <w:r w:rsidR="00C31018">
              <w:t xml:space="preserve">xplanatory </w:t>
            </w:r>
            <w:r>
              <w:t>S</w:t>
            </w:r>
            <w:r w:rsidR="00C31018">
              <w:t>tatement</w:t>
            </w:r>
            <w:r>
              <w:t xml:space="preserve"> can be worded in a way that provides information about the policy of the provision, as an aid to interpretation. However, it is not the vehicle for explanations and guidance on how labelling of regulated products is to occur.</w:t>
            </w:r>
          </w:p>
          <w:p w14:paraId="2A2B37D5" w14:textId="7FB06E4C" w:rsidR="002006FF" w:rsidRPr="0069263B" w:rsidRDefault="002006FF" w:rsidP="00C31018">
            <w:pPr>
              <w:pStyle w:val="Table2"/>
              <w:cnfStyle w:val="000000010000" w:firstRow="0" w:lastRow="0" w:firstColumn="0" w:lastColumn="0" w:oddVBand="0" w:evenVBand="0" w:oddHBand="0" w:evenHBand="1" w:firstRowFirstColumn="0" w:firstRowLastColumn="0" w:lastRowFirstColumn="0" w:lastRowLastColumn="0"/>
            </w:pPr>
          </w:p>
        </w:tc>
      </w:tr>
      <w:tr w:rsidR="004E7B2D" w:rsidRPr="0069263B" w14:paraId="5E4F6C40"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2A094E12" w14:textId="2E47C45F" w:rsidR="0031592E" w:rsidRPr="00685AE4" w:rsidRDefault="0031592E" w:rsidP="00A91185">
            <w:pPr>
              <w:pStyle w:val="Table2"/>
              <w:rPr>
                <w:b w:val="0"/>
              </w:rPr>
            </w:pPr>
            <w:r w:rsidRPr="00781E12">
              <w:t>There is potential that label changes will be required as a result of the measures proposed by P1037 and so a realistic transitio</w:t>
            </w:r>
            <w:r w:rsidR="004456A2">
              <w:t>nal period, followed by a stock-in-</w:t>
            </w:r>
            <w:r w:rsidRPr="00781E12">
              <w:t>trade provision is recommended.</w:t>
            </w:r>
            <w:r>
              <w:t xml:space="preserve"> </w:t>
            </w:r>
          </w:p>
        </w:tc>
        <w:tc>
          <w:tcPr>
            <w:tcW w:w="1817" w:type="dxa"/>
            <w:tcBorders>
              <w:top w:val="single" w:sz="4" w:space="0" w:color="auto"/>
              <w:left w:val="single" w:sz="4" w:space="0" w:color="auto"/>
              <w:bottom w:val="single" w:sz="4" w:space="0" w:color="auto"/>
              <w:right w:val="single" w:sz="4" w:space="0" w:color="auto"/>
            </w:tcBorders>
          </w:tcPr>
          <w:p w14:paraId="4204E12E" w14:textId="77777777" w:rsidR="0031592E" w:rsidRDefault="0031592E" w:rsidP="00A91185">
            <w:pPr>
              <w:pStyle w:val="Table2"/>
              <w:cnfStyle w:val="000000100000" w:firstRow="0" w:lastRow="0" w:firstColumn="0" w:lastColumn="0" w:oddVBand="0" w:evenVBand="0" w:oddHBand="1" w:evenHBand="0" w:firstRowFirstColumn="0" w:firstRowLastColumn="0" w:lastRowFirstColumn="0" w:lastRowLastColumn="0"/>
            </w:pPr>
            <w:r>
              <w:t>Ai Group</w:t>
            </w:r>
          </w:p>
          <w:p w14:paraId="503F76FB" w14:textId="77777777" w:rsidR="0031592E" w:rsidRDefault="0031592E" w:rsidP="00A91185">
            <w:pPr>
              <w:pStyle w:val="Table2"/>
              <w:cnfStyle w:val="000000100000" w:firstRow="0" w:lastRow="0" w:firstColumn="0" w:lastColumn="0" w:oddVBand="0" w:evenVBand="0" w:oddHBand="1" w:evenHBand="0" w:firstRowFirstColumn="0" w:firstRowLastColumn="0" w:lastRowFirstColumn="0" w:lastRowLastColumn="0"/>
            </w:pPr>
          </w:p>
        </w:tc>
        <w:tc>
          <w:tcPr>
            <w:tcW w:w="7885" w:type="dxa"/>
            <w:tcBorders>
              <w:top w:val="single" w:sz="4" w:space="0" w:color="auto"/>
              <w:left w:val="single" w:sz="4" w:space="0" w:color="auto"/>
              <w:bottom w:val="single" w:sz="4" w:space="0" w:color="auto"/>
              <w:right w:val="single" w:sz="4" w:space="0" w:color="auto"/>
            </w:tcBorders>
          </w:tcPr>
          <w:p w14:paraId="2DC449C9" w14:textId="40A63EDA" w:rsidR="0031592E" w:rsidRPr="0069263B" w:rsidRDefault="009E0692" w:rsidP="005F33F9">
            <w:pPr>
              <w:pStyle w:val="Table2"/>
              <w:cnfStyle w:val="000000100000" w:firstRow="0" w:lastRow="0" w:firstColumn="0" w:lastColumn="0" w:oddVBand="0" w:evenVBand="0" w:oddHBand="1" w:evenHBand="0" w:firstRowFirstColumn="0" w:firstRowLastColumn="0" w:lastRowFirstColumn="0" w:lastRowLastColumn="0"/>
            </w:pPr>
            <w:r>
              <w:t>A</w:t>
            </w:r>
            <w:r w:rsidRPr="009E0692">
              <w:t xml:space="preserve"> transition period followed by </w:t>
            </w:r>
            <w:r w:rsidR="006C0C8C">
              <w:t>a 12 month</w:t>
            </w:r>
            <w:r w:rsidRPr="009E0692">
              <w:t xml:space="preserve"> </w:t>
            </w:r>
            <w:r w:rsidR="00F150B5">
              <w:t xml:space="preserve">stock-in-trade </w:t>
            </w:r>
            <w:r w:rsidR="00C525B6">
              <w:t>exemption</w:t>
            </w:r>
            <w:r>
              <w:t xml:space="preserve"> </w:t>
            </w:r>
            <w:r w:rsidR="005F33F9">
              <w:t xml:space="preserve">will be provided for the amendments. </w:t>
            </w:r>
          </w:p>
        </w:tc>
      </w:tr>
      <w:tr w:rsidR="006A25F7" w14:paraId="7A7048AA"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2EE23FC8" w14:textId="5D492D4D" w:rsidR="006A25F7" w:rsidRDefault="006A25F7" w:rsidP="008E0C66">
            <w:pPr>
              <w:pStyle w:val="Table2"/>
              <w:autoSpaceDE w:val="0"/>
              <w:rPr>
                <w:b w:val="0"/>
              </w:rPr>
            </w:pPr>
            <w:r w:rsidRPr="00D0777B">
              <w:t>Recommend the</w:t>
            </w:r>
            <w:r>
              <w:t xml:space="preserve"> addition of the percentage fvnl</w:t>
            </w:r>
            <w:r w:rsidR="00143DBA">
              <w:rPr>
                <w:rFonts w:ascii="ZWAdobeF" w:hAnsi="ZWAdobeF" w:cs="ZWAdobeF"/>
                <w:sz w:val="2"/>
                <w:szCs w:val="2"/>
              </w:rPr>
              <w:t>5F</w:t>
            </w:r>
            <w:r w:rsidR="008E0C66">
              <w:rPr>
                <w:rFonts w:ascii="ZWAdobeF" w:hAnsi="ZWAdobeF" w:cs="ZWAdobeF"/>
                <w:b w:val="0"/>
                <w:sz w:val="2"/>
                <w:szCs w:val="2"/>
              </w:rPr>
              <w:t>5F</w:t>
            </w:r>
            <w:r>
              <w:rPr>
                <w:rStyle w:val="FootnoteReference"/>
              </w:rPr>
              <w:footnoteReference w:id="7"/>
            </w:r>
            <w:r w:rsidRPr="00D0777B">
              <w:t xml:space="preserve"> </w:t>
            </w:r>
            <w:r>
              <w:t xml:space="preserve">details to the ingredient list, </w:t>
            </w:r>
            <w:r w:rsidRPr="00D0777B">
              <w:t xml:space="preserve">to allow for </w:t>
            </w:r>
            <w:r w:rsidRPr="005D043E">
              <w:t xml:space="preserve">verification of the </w:t>
            </w:r>
            <w:r w:rsidR="009D3F75">
              <w:t>nutrient profiling score.</w:t>
            </w:r>
          </w:p>
          <w:p w14:paraId="38B5A46A" w14:textId="77777777" w:rsidR="006A25F7" w:rsidRDefault="006A25F7" w:rsidP="003D1BC2">
            <w:pPr>
              <w:pStyle w:val="Table2"/>
              <w:rPr>
                <w:b w:val="0"/>
              </w:rPr>
            </w:pPr>
          </w:p>
          <w:p w14:paraId="2B71384C" w14:textId="7B6B16E4" w:rsidR="006A25F7" w:rsidRDefault="006A25F7" w:rsidP="003D1BC2">
            <w:pPr>
              <w:pStyle w:val="Table2"/>
              <w:rPr>
                <w:b w:val="0"/>
              </w:rPr>
            </w:pPr>
            <w:r>
              <w:t xml:space="preserve">A </w:t>
            </w:r>
            <w:r w:rsidRPr="00781E12">
              <w:t xml:space="preserve">consideration for the </w:t>
            </w:r>
            <w:r>
              <w:t xml:space="preserve">HSR </w:t>
            </w:r>
            <w:r w:rsidRPr="00781E12">
              <w:t xml:space="preserve">system is to align with the requirements of the </w:t>
            </w:r>
            <w:r w:rsidR="00034B42">
              <w:t>nutrient profiling scoring criterion (</w:t>
            </w:r>
            <w:r w:rsidRPr="00781E12">
              <w:t>NPSC</w:t>
            </w:r>
            <w:r w:rsidR="00034B42">
              <w:t>)</w:t>
            </w:r>
            <w:r w:rsidR="009517FA">
              <w:t xml:space="preserve"> so that the HSR could be calculated from label information. This would mean </w:t>
            </w:r>
            <w:r w:rsidR="00BC6673">
              <w:t>r</w:t>
            </w:r>
            <w:r w:rsidR="009517FA">
              <w:t>equiring</w:t>
            </w:r>
            <w:r w:rsidR="00BC6673">
              <w:t xml:space="preserve"> </w:t>
            </w:r>
            <w:r w:rsidR="009517FA">
              <w:t>the inclusion of</w:t>
            </w:r>
            <w:r w:rsidRPr="00781E12">
              <w:t xml:space="preserve"> fibre in the NIP and </w:t>
            </w:r>
            <w:r>
              <w:t xml:space="preserve">percentage of fvnl in the </w:t>
            </w:r>
            <w:r w:rsidRPr="009D3F75">
              <w:t xml:space="preserve">ingredient list when used in the </w:t>
            </w:r>
            <w:r w:rsidR="009D3F75" w:rsidRPr="009D3F75">
              <w:t>nutrient profiling score</w:t>
            </w:r>
            <w:r w:rsidRPr="009D3F75">
              <w:t xml:space="preserve"> calculation</w:t>
            </w:r>
            <w:r w:rsidRPr="00781E12">
              <w:t xml:space="preserve"> or in this case the HSR score calculation.</w:t>
            </w:r>
          </w:p>
          <w:p w14:paraId="31898185" w14:textId="77777777" w:rsidR="006A25F7" w:rsidRDefault="006A25F7" w:rsidP="003D1BC2">
            <w:pPr>
              <w:pStyle w:val="Table2"/>
              <w:rPr>
                <w:b w:val="0"/>
              </w:rPr>
            </w:pPr>
          </w:p>
          <w:p w14:paraId="033A90DB" w14:textId="0A12AF99" w:rsidR="006A25F7" w:rsidRDefault="006A25F7" w:rsidP="003D1BC2">
            <w:pPr>
              <w:pStyle w:val="Table2"/>
              <w:rPr>
                <w:b w:val="0"/>
                <w:lang w:val="en-NZ"/>
              </w:rPr>
            </w:pPr>
            <w:r>
              <w:rPr>
                <w:lang w:val="en-NZ"/>
              </w:rPr>
              <w:t>N</w:t>
            </w:r>
            <w:r w:rsidRPr="00D0777B">
              <w:rPr>
                <w:lang w:val="en-NZ"/>
              </w:rPr>
              <w:t xml:space="preserve">ote it is not possible to determine the </w:t>
            </w:r>
            <w:r w:rsidR="009D3F75" w:rsidRPr="009D3F75">
              <w:t>nutrient profiling score</w:t>
            </w:r>
            <w:r w:rsidRPr="009D3F75">
              <w:rPr>
                <w:lang w:val="en-NZ"/>
              </w:rPr>
              <w:t xml:space="preserve"> for</w:t>
            </w:r>
            <w:r w:rsidRPr="00D0777B">
              <w:rPr>
                <w:lang w:val="en-NZ"/>
              </w:rPr>
              <w:t xml:space="preserve"> many foods by using the information provided on the label as the</w:t>
            </w:r>
            <w:r>
              <w:rPr>
                <w:lang w:val="en-NZ"/>
              </w:rPr>
              <w:t xml:space="preserve"> fvnl</w:t>
            </w:r>
            <w:r w:rsidRPr="00D0777B">
              <w:rPr>
                <w:lang w:val="en-NZ"/>
              </w:rPr>
              <w:t xml:space="preserve"> content of the food cannot be determined.</w:t>
            </w:r>
          </w:p>
          <w:p w14:paraId="78D3C43F" w14:textId="77777777" w:rsidR="006A25F7" w:rsidRPr="00743003" w:rsidRDefault="006A25F7" w:rsidP="003D1BC2">
            <w:pPr>
              <w:pStyle w:val="Table2"/>
              <w:rPr>
                <w:b w:val="0"/>
              </w:rPr>
            </w:pPr>
          </w:p>
        </w:tc>
        <w:tc>
          <w:tcPr>
            <w:tcW w:w="1817" w:type="dxa"/>
            <w:tcBorders>
              <w:top w:val="single" w:sz="4" w:space="0" w:color="auto"/>
              <w:left w:val="single" w:sz="4" w:space="0" w:color="auto"/>
              <w:bottom w:val="single" w:sz="4" w:space="0" w:color="auto"/>
              <w:right w:val="single" w:sz="4" w:space="0" w:color="auto"/>
            </w:tcBorders>
          </w:tcPr>
          <w:p w14:paraId="6F1CA8E9" w14:textId="731917B5"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r w:rsidRPr="001277A1">
              <w:t xml:space="preserve">Dietitians Association of Australia </w:t>
            </w:r>
            <w:r w:rsidR="000161E4">
              <w:t>(</w:t>
            </w:r>
            <w:r w:rsidRPr="001277A1">
              <w:t>DAA</w:t>
            </w:r>
            <w:r w:rsidR="000161E4">
              <w:t>)</w:t>
            </w:r>
          </w:p>
          <w:p w14:paraId="3988E55C"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0BC7E0A6" w14:textId="77777777" w:rsidR="00761328" w:rsidRDefault="00761328" w:rsidP="003D1BC2">
            <w:pPr>
              <w:pStyle w:val="Table2"/>
              <w:cnfStyle w:val="000000010000" w:firstRow="0" w:lastRow="0" w:firstColumn="0" w:lastColumn="0" w:oddVBand="0" w:evenVBand="0" w:oddHBand="0" w:evenHBand="1" w:firstRowFirstColumn="0" w:firstRowLastColumn="0" w:lastRowFirstColumn="0" w:lastRowLastColumn="0"/>
            </w:pPr>
          </w:p>
          <w:p w14:paraId="010CD9CF"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r>
              <w:t>Simplot</w:t>
            </w:r>
            <w:r w:rsidRPr="001277A1">
              <w:t xml:space="preserve"> </w:t>
            </w:r>
          </w:p>
          <w:p w14:paraId="650C873B"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2CACC2A5"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7AB3FB92"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65C702C1"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1EC1838D" w14:textId="77777777"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p>
          <w:p w14:paraId="76BF6ED6" w14:textId="77777777" w:rsidR="00761328" w:rsidRDefault="00761328" w:rsidP="003D1BC2">
            <w:pPr>
              <w:pStyle w:val="Table2"/>
              <w:cnfStyle w:val="000000010000" w:firstRow="0" w:lastRow="0" w:firstColumn="0" w:lastColumn="0" w:oddVBand="0" w:evenVBand="0" w:oddHBand="0" w:evenHBand="1" w:firstRowFirstColumn="0" w:firstRowLastColumn="0" w:lastRowFirstColumn="0" w:lastRowLastColumn="0"/>
            </w:pPr>
          </w:p>
          <w:p w14:paraId="2151CEB2" w14:textId="412EE657" w:rsidR="009517FA" w:rsidRDefault="009517FA" w:rsidP="003D1BC2">
            <w:pPr>
              <w:pStyle w:val="Table2"/>
              <w:cnfStyle w:val="000000010000" w:firstRow="0" w:lastRow="0" w:firstColumn="0" w:lastColumn="0" w:oddVBand="0" w:evenVBand="0" w:oddHBand="0" w:evenHBand="1" w:firstRowFirstColumn="0" w:firstRowLastColumn="0" w:lastRowFirstColumn="0" w:lastRowLastColumn="0"/>
            </w:pPr>
          </w:p>
          <w:p w14:paraId="7132F19D" w14:textId="0DF5A42A" w:rsidR="006A25F7" w:rsidRDefault="009517FA" w:rsidP="009E0692">
            <w:pPr>
              <w:pStyle w:val="Table2"/>
              <w:cnfStyle w:val="000000010000" w:firstRow="0" w:lastRow="0" w:firstColumn="0" w:lastColumn="0" w:oddVBand="0" w:evenVBand="0" w:oddHBand="0" w:evenHBand="1" w:firstRowFirstColumn="0" w:firstRowLastColumn="0" w:lastRowFirstColumn="0" w:lastRowLastColumn="0"/>
            </w:pPr>
            <w:r>
              <w:t>V</w:t>
            </w:r>
            <w:r w:rsidR="006A25F7" w:rsidRPr="001277A1">
              <w:t>ictorian Departments of Health and Human Services and Economic Development, Jobs, Transport and Resources</w:t>
            </w:r>
          </w:p>
        </w:tc>
        <w:tc>
          <w:tcPr>
            <w:tcW w:w="7885" w:type="dxa"/>
            <w:tcBorders>
              <w:top w:val="single" w:sz="4" w:space="0" w:color="auto"/>
              <w:left w:val="single" w:sz="4" w:space="0" w:color="auto"/>
              <w:bottom w:val="single" w:sz="4" w:space="0" w:color="auto"/>
              <w:right w:val="single" w:sz="4" w:space="0" w:color="auto"/>
            </w:tcBorders>
          </w:tcPr>
          <w:p w14:paraId="4A6C17C2" w14:textId="6B20F113" w:rsidR="006A25F7" w:rsidRDefault="006A25F7" w:rsidP="003D1BC2">
            <w:pPr>
              <w:pStyle w:val="Table2"/>
              <w:cnfStyle w:val="000000010000" w:firstRow="0" w:lastRow="0" w:firstColumn="0" w:lastColumn="0" w:oddVBand="0" w:evenVBand="0" w:oddHBand="0" w:evenHBand="1" w:firstRowFirstColumn="0" w:firstRowLastColumn="0" w:lastRowFirstColumn="0" w:lastRowLastColumn="0"/>
            </w:pPr>
            <w:r>
              <w:t>For foods that must me</w:t>
            </w:r>
            <w:r w:rsidR="00F01880">
              <w:t>e</w:t>
            </w:r>
            <w:r>
              <w:t>t the NPSC in order to make a claim, Standard 1.2.7</w:t>
            </w:r>
            <w:r w:rsidR="000D62E3">
              <w:t xml:space="preserve"> of both the current and revised Codes</w:t>
            </w:r>
            <w:r>
              <w:t xml:space="preserve"> requires: </w:t>
            </w:r>
          </w:p>
          <w:p w14:paraId="1911EAA2" w14:textId="50AB8459" w:rsidR="006A25F7" w:rsidRDefault="006A25F7" w:rsidP="002F070F">
            <w:pPr>
              <w:pStyle w:val="Table2"/>
              <w:numPr>
                <w:ilvl w:val="0"/>
                <w:numId w:val="7"/>
              </w:numPr>
              <w:cnfStyle w:val="000000010000" w:firstRow="0" w:lastRow="0" w:firstColumn="0" w:lastColumn="0" w:oddVBand="0" w:evenVBand="0" w:oddHBand="0" w:evenHBand="1" w:firstRowFirstColumn="0" w:firstRowLastColumn="0" w:lastRowFirstColumn="0" w:lastRowLastColumn="0"/>
            </w:pPr>
            <w:r>
              <w:t xml:space="preserve">the property of the food (e.g. dietary fibre) to be declared in the </w:t>
            </w:r>
            <w:r w:rsidR="00307283">
              <w:t>NIP</w:t>
            </w:r>
            <w:r>
              <w:t xml:space="preserve"> if relied on to meet the NPSC</w:t>
            </w:r>
          </w:p>
          <w:p w14:paraId="5F630252" w14:textId="5A0DE4FB" w:rsidR="006A25F7" w:rsidRDefault="006A25F7" w:rsidP="002F070F">
            <w:pPr>
              <w:pStyle w:val="Table2"/>
              <w:numPr>
                <w:ilvl w:val="0"/>
                <w:numId w:val="7"/>
              </w:numPr>
              <w:cnfStyle w:val="000000010000" w:firstRow="0" w:lastRow="0" w:firstColumn="0" w:lastColumn="0" w:oddVBand="0" w:evenVBand="0" w:oddHBand="0" w:evenHBand="1" w:firstRowFirstColumn="0" w:firstRowLastColumn="0" w:lastRowFirstColumn="0" w:lastRowLastColumn="0"/>
            </w:pPr>
            <w:r>
              <w:t xml:space="preserve">the calcium content to be declared in the </w:t>
            </w:r>
            <w:r w:rsidR="00307283">
              <w:t>NIP</w:t>
            </w:r>
            <w:r>
              <w:t xml:space="preserve"> if the food is classified in Category 3 of the NPSC</w:t>
            </w:r>
          </w:p>
          <w:p w14:paraId="745CE9D7" w14:textId="77777777" w:rsidR="006A25F7" w:rsidRDefault="006A25F7" w:rsidP="002F070F">
            <w:pPr>
              <w:pStyle w:val="Table2"/>
              <w:numPr>
                <w:ilvl w:val="0"/>
                <w:numId w:val="7"/>
              </w:numPr>
              <w:cnfStyle w:val="000000010000" w:firstRow="0" w:lastRow="0" w:firstColumn="0" w:lastColumn="0" w:oddVBand="0" w:evenVBand="0" w:oddHBand="0" w:evenHBand="1" w:firstRowFirstColumn="0" w:firstRowLastColumn="0" w:lastRowFirstColumn="0" w:lastRowLastColumn="0"/>
            </w:pPr>
            <w:r>
              <w:t xml:space="preserve">the percentage of each fvnl relied on to meet the NPSC to be declared on the label if the food scores V points. </w:t>
            </w:r>
          </w:p>
          <w:p w14:paraId="4FFC2D43" w14:textId="77777777" w:rsidR="00C525B6" w:rsidRDefault="00C525B6" w:rsidP="00C525B6">
            <w:pPr>
              <w:pStyle w:val="Table2"/>
              <w:ind w:left="0" w:firstLine="0"/>
              <w:cnfStyle w:val="000000010000" w:firstRow="0" w:lastRow="0" w:firstColumn="0" w:lastColumn="0" w:oddVBand="0" w:evenVBand="0" w:oddHBand="0" w:evenHBand="1" w:firstRowFirstColumn="0" w:firstRowLastColumn="0" w:lastRowFirstColumn="0" w:lastRowLastColumn="0"/>
            </w:pPr>
          </w:p>
          <w:p w14:paraId="7952D989" w14:textId="32046C8F" w:rsidR="006A25F7" w:rsidRPr="008030C0" w:rsidRDefault="00761A04" w:rsidP="00B512C5">
            <w:pPr>
              <w:pStyle w:val="Table2"/>
              <w:cnfStyle w:val="000000010000" w:firstRow="0" w:lastRow="0" w:firstColumn="0" w:lastColumn="0" w:oddVBand="0" w:evenVBand="0" w:oddHBand="0" w:evenHBand="1" w:firstRowFirstColumn="0" w:firstRowLastColumn="0" w:lastRowFirstColumn="0" w:lastRowLastColumn="0"/>
            </w:pPr>
            <w:r>
              <w:t>Neither</w:t>
            </w:r>
            <w:r w:rsidR="006A25F7">
              <w:t xml:space="preserve"> the</w:t>
            </w:r>
            <w:r w:rsidR="005D043E">
              <w:t xml:space="preserve"> </w:t>
            </w:r>
            <w:r>
              <w:t xml:space="preserve">Guide for </w:t>
            </w:r>
            <w:r w:rsidR="005C6F8B">
              <w:t>I</w:t>
            </w:r>
            <w:r>
              <w:t xml:space="preserve">ndustry to </w:t>
            </w:r>
            <w:r w:rsidR="005D043E">
              <w:t xml:space="preserve">the </w:t>
            </w:r>
            <w:r w:rsidR="006A25F7">
              <w:t xml:space="preserve">Health </w:t>
            </w:r>
            <w:r>
              <w:t>Star Rating system, nor</w:t>
            </w:r>
            <w:r w:rsidR="00F46513">
              <w:t xml:space="preserve"> the </w:t>
            </w:r>
            <w:r w:rsidR="006A25F7">
              <w:t xml:space="preserve">HSR </w:t>
            </w:r>
            <w:r>
              <w:t>Style Guide require</w:t>
            </w:r>
            <w:r w:rsidR="006A25F7">
              <w:t xml:space="preserve"> the information outlined above to be declared on a food label </w:t>
            </w:r>
            <w:r w:rsidR="00E84034">
              <w:t xml:space="preserve">with a HSR </w:t>
            </w:r>
            <w:r w:rsidR="006A25F7">
              <w:t xml:space="preserve">to </w:t>
            </w:r>
            <w:r w:rsidR="006A25F7" w:rsidRPr="00130123">
              <w:t>enable third parties to calculate the HSR</w:t>
            </w:r>
            <w:r w:rsidR="00B512C5">
              <w:t xml:space="preserve">. However, the </w:t>
            </w:r>
            <w:r w:rsidR="00E84034">
              <w:t xml:space="preserve">Code requirements above would apply if the same food </w:t>
            </w:r>
            <w:r w:rsidR="00F46513">
              <w:t xml:space="preserve">also </w:t>
            </w:r>
            <w:r w:rsidR="00E84034">
              <w:t>carried a health claim</w:t>
            </w:r>
            <w:r w:rsidR="006A25F7">
              <w:t xml:space="preserve">. </w:t>
            </w:r>
          </w:p>
        </w:tc>
      </w:tr>
      <w:tr w:rsidR="00786BAA" w:rsidRPr="000161E4" w14:paraId="13549D7B"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13654" w:type="dxa"/>
            <w:gridSpan w:val="3"/>
            <w:tcBorders>
              <w:top w:val="single" w:sz="4" w:space="0" w:color="auto"/>
              <w:left w:val="single" w:sz="4" w:space="0" w:color="auto"/>
              <w:bottom w:val="single" w:sz="4" w:space="0" w:color="auto"/>
              <w:right w:val="single" w:sz="4" w:space="0" w:color="auto"/>
            </w:tcBorders>
          </w:tcPr>
          <w:p w14:paraId="35956662" w14:textId="77777777" w:rsidR="00786BAA" w:rsidRDefault="00786BAA" w:rsidP="009279C4">
            <w:pPr>
              <w:pStyle w:val="Table2"/>
              <w:pageBreakBefore/>
            </w:pPr>
            <w:r w:rsidRPr="000161E4">
              <w:lastRenderedPageBreak/>
              <w:t>HEALTH STAR RATING</w:t>
            </w:r>
          </w:p>
          <w:p w14:paraId="653A9435" w14:textId="751A89FC" w:rsidR="00656A01" w:rsidRPr="000161E4" w:rsidRDefault="00656A01" w:rsidP="003D1BC2">
            <w:pPr>
              <w:pStyle w:val="Table2"/>
              <w:rPr>
                <w:b w:val="0"/>
              </w:rPr>
            </w:pPr>
          </w:p>
        </w:tc>
      </w:tr>
      <w:tr w:rsidR="000161E4" w:rsidRPr="0069263B" w14:paraId="7FCAB869"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4F4E1F5F" w14:textId="77777777" w:rsidR="000161E4" w:rsidRPr="0069263B" w:rsidRDefault="000161E4" w:rsidP="003D1BC2">
            <w:pPr>
              <w:pStyle w:val="Table2"/>
              <w:rPr>
                <w:b w:val="0"/>
              </w:rPr>
            </w:pPr>
            <w:r w:rsidRPr="0069263B">
              <w:t xml:space="preserve">Do not support exemption because: </w:t>
            </w:r>
          </w:p>
          <w:p w14:paraId="03166724" w14:textId="3A02C91F" w:rsidR="000161E4" w:rsidRPr="0069263B" w:rsidRDefault="00F80BB1" w:rsidP="003D1BC2">
            <w:pPr>
              <w:pStyle w:val="Table2"/>
              <w:rPr>
                <w:b w:val="0"/>
              </w:rPr>
            </w:pPr>
            <w:r>
              <w:t>(i) T</w:t>
            </w:r>
            <w:r w:rsidR="000161E4" w:rsidRPr="0069263B">
              <w:t>he HSR is voluntary</w:t>
            </w:r>
            <w:r>
              <w:t>. I</w:t>
            </w:r>
            <w:r w:rsidR="000161E4" w:rsidRPr="0069263B">
              <w:t xml:space="preserve">ntroduction of an exemption is unjustifiable </w:t>
            </w:r>
            <w:r w:rsidR="00307283">
              <w:t>when</w:t>
            </w:r>
            <w:r w:rsidR="000161E4" w:rsidRPr="0069263B">
              <w:t xml:space="preserve"> otherwise this type of labelling is mandatory.</w:t>
            </w:r>
          </w:p>
          <w:p w14:paraId="0D7F8B93" w14:textId="17EA8168" w:rsidR="000161E4" w:rsidRPr="0069263B" w:rsidRDefault="00F80BB1" w:rsidP="003D1BC2">
            <w:pPr>
              <w:pStyle w:val="Table2"/>
              <w:rPr>
                <w:b w:val="0"/>
              </w:rPr>
            </w:pPr>
            <w:r>
              <w:t xml:space="preserve">(ii) A NIP </w:t>
            </w:r>
            <w:r w:rsidR="000161E4" w:rsidRPr="0069263B">
              <w:t>will still be required which essentially show</w:t>
            </w:r>
            <w:r w:rsidR="00307283">
              <w:t>s</w:t>
            </w:r>
            <w:r w:rsidR="000161E4" w:rsidRPr="0069263B">
              <w:t xml:space="preserve"> the same values.</w:t>
            </w:r>
          </w:p>
          <w:p w14:paraId="683059E8" w14:textId="4B9A11BD" w:rsidR="00786BAA" w:rsidRDefault="00F80BB1" w:rsidP="00F80BB1">
            <w:pPr>
              <w:pStyle w:val="Table2"/>
              <w:rPr>
                <w:b w:val="0"/>
              </w:rPr>
            </w:pPr>
            <w:r>
              <w:t xml:space="preserve">(iii) </w:t>
            </w:r>
            <w:r w:rsidR="000161E4" w:rsidRPr="0069263B">
              <w:t xml:space="preserve">The </w:t>
            </w:r>
            <w:r w:rsidR="00761328">
              <w:t>s</w:t>
            </w:r>
            <w:r w:rsidR="000161E4" w:rsidRPr="0069263B">
              <w:t xml:space="preserve">tar </w:t>
            </w:r>
            <w:r w:rsidR="00761328">
              <w:t>r</w:t>
            </w:r>
            <w:r w:rsidR="000161E4" w:rsidRPr="0069263B">
              <w:t>atings</w:t>
            </w:r>
            <w:r>
              <w:t xml:space="preserve"> are </w:t>
            </w:r>
            <w:r w:rsidR="000161E4" w:rsidRPr="0069263B">
              <w:t>nu</w:t>
            </w:r>
            <w:r>
              <w:t xml:space="preserve">trition claims </w:t>
            </w:r>
            <w:r w:rsidR="000161E4" w:rsidRPr="0069263B">
              <w:t>and subject to the relevant clauses.</w:t>
            </w:r>
          </w:p>
          <w:p w14:paraId="0E7632EA" w14:textId="77777777" w:rsidR="009E0692" w:rsidRDefault="009E0692" w:rsidP="00F80BB1">
            <w:pPr>
              <w:pStyle w:val="Table2"/>
              <w:rPr>
                <w:b w:val="0"/>
              </w:rPr>
            </w:pPr>
          </w:p>
          <w:p w14:paraId="78C3C668" w14:textId="3BD461B3" w:rsidR="00786BAA" w:rsidRDefault="00786BAA" w:rsidP="00B12B9C">
            <w:pPr>
              <w:pStyle w:val="Table2"/>
              <w:rPr>
                <w:b w:val="0"/>
              </w:rPr>
            </w:pPr>
            <w:r>
              <w:t>Do not support the exemption</w:t>
            </w:r>
            <w:r w:rsidR="00B12B9C">
              <w:t xml:space="preserve"> for the </w:t>
            </w:r>
            <w:r w:rsidR="00F46513">
              <w:t>HSR</w:t>
            </w:r>
            <w:r>
              <w:t xml:space="preserve">. </w:t>
            </w:r>
            <w:r w:rsidR="00B12B9C">
              <w:t xml:space="preserve"> </w:t>
            </w:r>
            <w:r w:rsidR="005D043E">
              <w:t xml:space="preserve">Such systems are </w:t>
            </w:r>
            <w:r w:rsidR="00B12B9C" w:rsidRPr="00B12B9C">
              <w:t>useful marketing advice but because they are inherently simplistic and do not contain all the information, they are prone to</w:t>
            </w:r>
            <w:r w:rsidR="005D043E">
              <w:t xml:space="preserve"> be</w:t>
            </w:r>
            <w:r w:rsidR="00B12B9C" w:rsidRPr="00B12B9C">
              <w:t xml:space="preserve"> misinterpreted and may lead to adverse consequences.</w:t>
            </w:r>
          </w:p>
          <w:p w14:paraId="711A426B" w14:textId="29ABE478" w:rsidR="00B12B9C" w:rsidRPr="0069263B" w:rsidRDefault="00B12B9C" w:rsidP="00B12B9C">
            <w:pPr>
              <w:pStyle w:val="Table2"/>
              <w:rPr>
                <w:b w:val="0"/>
              </w:rPr>
            </w:pPr>
          </w:p>
        </w:tc>
        <w:tc>
          <w:tcPr>
            <w:tcW w:w="1817" w:type="dxa"/>
            <w:tcBorders>
              <w:top w:val="single" w:sz="4" w:space="0" w:color="auto"/>
              <w:left w:val="single" w:sz="4" w:space="0" w:color="auto"/>
              <w:bottom w:val="single" w:sz="4" w:space="0" w:color="auto"/>
              <w:right w:val="single" w:sz="4" w:space="0" w:color="auto"/>
            </w:tcBorders>
          </w:tcPr>
          <w:p w14:paraId="77930EDB" w14:textId="77777777" w:rsidR="000161E4" w:rsidRDefault="000161E4" w:rsidP="003D1BC2">
            <w:pPr>
              <w:pStyle w:val="Table2"/>
              <w:cnfStyle w:val="000000010000" w:firstRow="0" w:lastRow="0" w:firstColumn="0" w:lastColumn="0" w:oddVBand="0" w:evenVBand="0" w:oddHBand="0" w:evenHBand="1" w:firstRowFirstColumn="0" w:firstRowLastColumn="0" w:lastRowFirstColumn="0" w:lastRowLastColumn="0"/>
            </w:pPr>
            <w:r>
              <w:t>FTAA</w:t>
            </w:r>
          </w:p>
          <w:p w14:paraId="5FADE36A"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2CFA3D17"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17065E32"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6A585889"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5A497EB2"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4BC4AAB6"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678BF29A" w14:textId="77777777" w:rsidR="009E0692" w:rsidRDefault="009E0692" w:rsidP="003D1BC2">
            <w:pPr>
              <w:pStyle w:val="Table2"/>
              <w:cnfStyle w:val="000000010000" w:firstRow="0" w:lastRow="0" w:firstColumn="0" w:lastColumn="0" w:oddVBand="0" w:evenVBand="0" w:oddHBand="0" w:evenHBand="1" w:firstRowFirstColumn="0" w:firstRowLastColumn="0" w:lastRowFirstColumn="0" w:lastRowLastColumn="0"/>
            </w:pPr>
          </w:p>
          <w:p w14:paraId="52D5F00B" w14:textId="77777777" w:rsidR="00786BAA" w:rsidRDefault="00786BAA" w:rsidP="003D1BC2">
            <w:pPr>
              <w:pStyle w:val="Table2"/>
              <w:cnfStyle w:val="000000010000" w:firstRow="0" w:lastRow="0" w:firstColumn="0" w:lastColumn="0" w:oddVBand="0" w:evenVBand="0" w:oddHBand="0" w:evenHBand="1" w:firstRowFirstColumn="0" w:firstRowLastColumn="0" w:lastRowFirstColumn="0" w:lastRowLastColumn="0"/>
            </w:pPr>
          </w:p>
          <w:p w14:paraId="177306AC" w14:textId="31DBF395" w:rsidR="00786BAA" w:rsidRPr="0069263B" w:rsidRDefault="00786BAA" w:rsidP="003D1BC2">
            <w:pPr>
              <w:pStyle w:val="Table2"/>
              <w:cnfStyle w:val="000000010000" w:firstRow="0" w:lastRow="0" w:firstColumn="0" w:lastColumn="0" w:oddVBand="0" w:evenVBand="0" w:oddHBand="0" w:evenHBand="1" w:firstRowFirstColumn="0" w:firstRowLastColumn="0" w:lastRowFirstColumn="0" w:lastRowLastColumn="0"/>
            </w:pPr>
            <w:r>
              <w:t xml:space="preserve">NZ Nurses Organisation </w:t>
            </w:r>
          </w:p>
        </w:tc>
        <w:tc>
          <w:tcPr>
            <w:tcW w:w="7885" w:type="dxa"/>
            <w:tcBorders>
              <w:top w:val="single" w:sz="4" w:space="0" w:color="auto"/>
              <w:left w:val="single" w:sz="4" w:space="0" w:color="auto"/>
              <w:bottom w:val="single" w:sz="4" w:space="0" w:color="auto"/>
              <w:right w:val="single" w:sz="4" w:space="0" w:color="auto"/>
            </w:tcBorders>
          </w:tcPr>
          <w:p w14:paraId="32D3BB71" w14:textId="47DC0ED9" w:rsidR="00AC61A3" w:rsidRPr="0069263B" w:rsidRDefault="00364FE5" w:rsidP="00761328">
            <w:pPr>
              <w:pStyle w:val="Table2"/>
              <w:cnfStyle w:val="000000010000" w:firstRow="0" w:lastRow="0" w:firstColumn="0" w:lastColumn="0" w:oddVBand="0" w:evenVBand="0" w:oddHBand="0" w:evenHBand="1" w:firstRowFirstColumn="0" w:firstRowLastColumn="0" w:lastRowFirstColumn="0" w:lastRowLastColumn="0"/>
            </w:pPr>
            <w:r w:rsidRPr="00364FE5">
              <w:t xml:space="preserve">Forum ministers agreed that the HSR system would be implemented on a voluntary basis over </w:t>
            </w:r>
            <w:r w:rsidR="00761328">
              <w:t>five</w:t>
            </w:r>
            <w:r w:rsidRPr="00364FE5">
              <w:t xml:space="preserve"> years (from 27 June 2014). </w:t>
            </w:r>
            <w:r w:rsidR="00CC7664">
              <w:t xml:space="preserve">The exemption supports the uptake of this voluntary system by the food industry. </w:t>
            </w:r>
          </w:p>
        </w:tc>
      </w:tr>
      <w:tr w:rsidR="000161E4" w:rsidRPr="0069263B" w14:paraId="6FFD7950"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1F119699" w14:textId="0039BC0F" w:rsidR="000161E4" w:rsidRPr="0069263B" w:rsidRDefault="000161E4" w:rsidP="00972815">
            <w:pPr>
              <w:pStyle w:val="Table2"/>
              <w:rPr>
                <w:b w:val="0"/>
              </w:rPr>
            </w:pPr>
            <w:r>
              <w:t>N</w:t>
            </w:r>
            <w:r w:rsidRPr="0069263B">
              <w:t>ote equivalent NZ HSR trademarks were not captured in proposed drafting</w:t>
            </w:r>
            <w:r w:rsidR="00972815">
              <w:t>.</w:t>
            </w:r>
          </w:p>
        </w:tc>
        <w:tc>
          <w:tcPr>
            <w:tcW w:w="1817" w:type="dxa"/>
            <w:tcBorders>
              <w:top w:val="single" w:sz="4" w:space="0" w:color="auto"/>
              <w:left w:val="single" w:sz="4" w:space="0" w:color="auto"/>
              <w:bottom w:val="single" w:sz="4" w:space="0" w:color="auto"/>
              <w:right w:val="single" w:sz="4" w:space="0" w:color="auto"/>
            </w:tcBorders>
          </w:tcPr>
          <w:p w14:paraId="00CB2834" w14:textId="77777777" w:rsidR="000161E4" w:rsidRPr="0069263B" w:rsidRDefault="000161E4" w:rsidP="003D1BC2">
            <w:pPr>
              <w:pStyle w:val="Table2"/>
              <w:cnfStyle w:val="000000100000" w:firstRow="0" w:lastRow="0" w:firstColumn="0" w:lastColumn="0" w:oddVBand="0" w:evenVBand="0" w:oddHBand="1" w:evenHBand="0" w:firstRowFirstColumn="0" w:firstRowLastColumn="0" w:lastRowFirstColumn="0" w:lastRowLastColumn="0"/>
            </w:pPr>
            <w:r w:rsidRPr="0069263B">
              <w:t>MPI, NZFGC</w:t>
            </w:r>
          </w:p>
        </w:tc>
        <w:tc>
          <w:tcPr>
            <w:tcW w:w="7885" w:type="dxa"/>
            <w:tcBorders>
              <w:top w:val="single" w:sz="4" w:space="0" w:color="auto"/>
              <w:left w:val="single" w:sz="4" w:space="0" w:color="auto"/>
              <w:bottom w:val="single" w:sz="4" w:space="0" w:color="auto"/>
              <w:right w:val="single" w:sz="4" w:space="0" w:color="auto"/>
            </w:tcBorders>
          </w:tcPr>
          <w:p w14:paraId="0CD20459" w14:textId="1C92C8EA" w:rsidR="000161E4" w:rsidRPr="0069263B" w:rsidRDefault="00C525B6" w:rsidP="00C525B6">
            <w:pPr>
              <w:pStyle w:val="Table2"/>
              <w:cnfStyle w:val="000000100000" w:firstRow="0" w:lastRow="0" w:firstColumn="0" w:lastColumn="0" w:oddVBand="0" w:evenVBand="0" w:oddHBand="1" w:evenHBand="0" w:firstRowFirstColumn="0" w:firstRowLastColumn="0" w:lastRowFirstColumn="0" w:lastRowLastColumn="0"/>
            </w:pPr>
            <w:r>
              <w:t>The draft variation</w:t>
            </w:r>
            <w:r w:rsidR="00A3660E">
              <w:t xml:space="preserve"> ha</w:t>
            </w:r>
            <w:r>
              <w:t>s</w:t>
            </w:r>
            <w:r w:rsidR="00A3660E">
              <w:t xml:space="preserve"> been amended to include t</w:t>
            </w:r>
            <w:r w:rsidR="00C33EF2">
              <w:t>he New Zealand HSR trade</w:t>
            </w:r>
            <w:r w:rsidR="00A3660E">
              <w:t xml:space="preserve">mark numbers. </w:t>
            </w:r>
          </w:p>
        </w:tc>
      </w:tr>
      <w:tr w:rsidR="000161E4" w:rsidRPr="0069263B" w14:paraId="7CF62E9B"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3C08FF56" w14:textId="30E1A9D1" w:rsidR="0035491A" w:rsidRPr="00E02E1F" w:rsidRDefault="0035491A" w:rsidP="0035491A">
            <w:pPr>
              <w:pStyle w:val="Table2"/>
              <w:rPr>
                <w:b w:val="0"/>
              </w:rPr>
            </w:pPr>
            <w:r w:rsidRPr="00E02E1F">
              <w:t>Do not support exemption for HSR from</w:t>
            </w:r>
            <w:r w:rsidR="007C3FD6" w:rsidRPr="00E02E1F">
              <w:t xml:space="preserve"> the</w:t>
            </w:r>
            <w:r w:rsidRPr="00E02E1F">
              <w:t xml:space="preserve"> form of the food requirements.</w:t>
            </w:r>
          </w:p>
          <w:p w14:paraId="75C2068D" w14:textId="77777777" w:rsidR="0035491A" w:rsidRPr="00E02E1F" w:rsidRDefault="0035491A" w:rsidP="0035491A">
            <w:pPr>
              <w:pStyle w:val="Table2"/>
              <w:rPr>
                <w:b w:val="0"/>
              </w:rPr>
            </w:pPr>
            <w:r w:rsidRPr="00E02E1F">
              <w:t xml:space="preserve">Creates an inconsistency between exempt trademarked HSR elements (which do not have to meet form of food requirements) and when an optional HSR nutrient icon is used (and therefore does have to meet form of food requirements). </w:t>
            </w:r>
          </w:p>
          <w:p w14:paraId="6C16B24F" w14:textId="525C40C0" w:rsidR="00EC4198" w:rsidRPr="00E02E1F" w:rsidRDefault="000161E4" w:rsidP="0035491A">
            <w:pPr>
              <w:pStyle w:val="Table2"/>
              <w:rPr>
                <w:b w:val="0"/>
              </w:rPr>
            </w:pPr>
            <w:r w:rsidRPr="00E02E1F">
              <w:t xml:space="preserve">Suggest that when the HSR is calculated on a form of the food other than ‘as sold’ the form of the food used to calculate the HSR should be declared in conjunction with the HSR. </w:t>
            </w:r>
          </w:p>
          <w:p w14:paraId="4F5E8AA1" w14:textId="7F82E884" w:rsidR="00EC4198" w:rsidRPr="00E02E1F" w:rsidRDefault="00EC4198" w:rsidP="00EC4198">
            <w:pPr>
              <w:pStyle w:val="Table2"/>
              <w:rPr>
                <w:b w:val="0"/>
              </w:rPr>
            </w:pPr>
          </w:p>
        </w:tc>
        <w:tc>
          <w:tcPr>
            <w:tcW w:w="1817" w:type="dxa"/>
            <w:tcBorders>
              <w:top w:val="single" w:sz="4" w:space="0" w:color="auto"/>
              <w:left w:val="single" w:sz="4" w:space="0" w:color="auto"/>
              <w:bottom w:val="single" w:sz="4" w:space="0" w:color="auto"/>
              <w:right w:val="single" w:sz="4" w:space="0" w:color="auto"/>
            </w:tcBorders>
          </w:tcPr>
          <w:p w14:paraId="78F91F9F" w14:textId="77777777" w:rsidR="000161E4" w:rsidRPr="0069263B" w:rsidRDefault="000161E4" w:rsidP="003D1BC2">
            <w:pPr>
              <w:pStyle w:val="Table2"/>
              <w:cnfStyle w:val="000000010000" w:firstRow="0" w:lastRow="0" w:firstColumn="0" w:lastColumn="0" w:oddVBand="0" w:evenVBand="0" w:oddHBand="0" w:evenHBand="1" w:firstRowFirstColumn="0" w:firstRowLastColumn="0" w:lastRowFirstColumn="0" w:lastRowLastColumn="0"/>
            </w:pPr>
            <w:r>
              <w:t>MPI</w:t>
            </w:r>
          </w:p>
        </w:tc>
        <w:tc>
          <w:tcPr>
            <w:tcW w:w="7885" w:type="dxa"/>
            <w:tcBorders>
              <w:top w:val="single" w:sz="4" w:space="0" w:color="auto"/>
              <w:left w:val="single" w:sz="4" w:space="0" w:color="auto"/>
              <w:bottom w:val="single" w:sz="4" w:space="0" w:color="auto"/>
              <w:right w:val="single" w:sz="4" w:space="0" w:color="auto"/>
            </w:tcBorders>
          </w:tcPr>
          <w:p w14:paraId="666C4DA0" w14:textId="3B088359" w:rsidR="00EC4198" w:rsidRDefault="00F46513" w:rsidP="004C4776">
            <w:pPr>
              <w:pStyle w:val="Table2"/>
              <w:cnfStyle w:val="000000010000" w:firstRow="0" w:lastRow="0" w:firstColumn="0" w:lastColumn="0" w:oddVBand="0" w:evenVBand="0" w:oddHBand="0" w:evenHBand="1" w:firstRowFirstColumn="0" w:firstRowLastColumn="0" w:lastRowFirstColumn="0" w:lastRowLastColumn="0"/>
            </w:pPr>
            <w:r>
              <w:t xml:space="preserve">The </w:t>
            </w:r>
            <w:r w:rsidR="00924736">
              <w:t xml:space="preserve">Front-of-Pack Labelling Secretariat </w:t>
            </w:r>
            <w:r w:rsidR="0031740E">
              <w:t>within</w:t>
            </w:r>
            <w:r w:rsidR="00924736">
              <w:t xml:space="preserve"> the </w:t>
            </w:r>
            <w:r w:rsidR="0031740E">
              <w:t xml:space="preserve">Australian </w:t>
            </w:r>
            <w:r>
              <w:t>Department of Health has</w:t>
            </w:r>
            <w:r w:rsidR="001F220B">
              <w:t xml:space="preserve"> advised FSANZ that the HSR Advisory Committee </w:t>
            </w:r>
            <w:r w:rsidR="00EC4198">
              <w:t xml:space="preserve">will be </w:t>
            </w:r>
            <w:r w:rsidR="001F220B">
              <w:t xml:space="preserve">asked to </w:t>
            </w:r>
            <w:r w:rsidR="00761A04">
              <w:t>consider</w:t>
            </w:r>
            <w:r w:rsidR="001F220B">
              <w:t xml:space="preserve"> the requirements</w:t>
            </w:r>
            <w:r w:rsidR="00EC4198">
              <w:t xml:space="preserve"> </w:t>
            </w:r>
            <w:r w:rsidR="00EC4198" w:rsidRPr="00EC4198">
              <w:t>in the Guide for Industry and/or the Style Guide</w:t>
            </w:r>
            <w:r w:rsidR="001F220B">
              <w:t xml:space="preserve"> relating to the </w:t>
            </w:r>
            <w:r w:rsidR="00761A04">
              <w:t xml:space="preserve">declaration of </w:t>
            </w:r>
            <w:r w:rsidR="001F220B">
              <w:t>the form of the food, for the HSR system</w:t>
            </w:r>
            <w:r w:rsidR="001F220B" w:rsidRPr="001F220B">
              <w:t xml:space="preserve"> (noting they would be voluntary rather than mandatory). </w:t>
            </w:r>
          </w:p>
          <w:p w14:paraId="45E4E1F1" w14:textId="77777777" w:rsidR="00EC4198" w:rsidRDefault="00EC4198" w:rsidP="00F46513">
            <w:pPr>
              <w:pStyle w:val="Table2"/>
              <w:ind w:left="0" w:firstLine="0"/>
              <w:cnfStyle w:val="000000010000" w:firstRow="0" w:lastRow="0" w:firstColumn="0" w:lastColumn="0" w:oddVBand="0" w:evenVBand="0" w:oddHBand="0" w:evenHBand="1" w:firstRowFirstColumn="0" w:firstRowLastColumn="0" w:lastRowFirstColumn="0" w:lastRowLastColumn="0"/>
            </w:pPr>
          </w:p>
          <w:p w14:paraId="67C7F45B" w14:textId="1F46571A" w:rsidR="00317C62" w:rsidRPr="00AA3AE0" w:rsidRDefault="000D62E3" w:rsidP="000D62E3">
            <w:pPr>
              <w:pStyle w:val="Table2"/>
              <w:cnfStyle w:val="000000010000" w:firstRow="0" w:lastRow="0" w:firstColumn="0" w:lastColumn="0" w:oddVBand="0" w:evenVBand="0" w:oddHBand="0" w:evenHBand="1" w:firstRowFirstColumn="0" w:firstRowLastColumn="0" w:lastRowFirstColumn="0" w:lastRowLastColumn="0"/>
            </w:pPr>
            <w:r>
              <w:t xml:space="preserve">Clause 11, </w:t>
            </w:r>
            <w:r w:rsidR="0034127E" w:rsidRPr="004A6BCD">
              <w:t>Standard 1.2.8</w:t>
            </w:r>
            <w:r>
              <w:t xml:space="preserve"> </w:t>
            </w:r>
            <w:r w:rsidR="004D3026">
              <w:t>in the current Code</w:t>
            </w:r>
            <w:r>
              <w:t xml:space="preserve"> (</w:t>
            </w:r>
            <w:r w:rsidR="0034127E">
              <w:t>subsection 1.2.8</w:t>
            </w:r>
            <w:r w:rsidR="00D0494A" w:rsidRPr="00D80068">
              <w:t>—</w:t>
            </w:r>
            <w:r w:rsidR="0034127E">
              <w:t xml:space="preserve">13(2) </w:t>
            </w:r>
            <w:r w:rsidR="004D3026">
              <w:t>in the revised Code</w:t>
            </w:r>
            <w:r>
              <w:t>)</w:t>
            </w:r>
            <w:r w:rsidR="004A6BCD" w:rsidRPr="004A6BCD">
              <w:t xml:space="preserve"> allow</w:t>
            </w:r>
            <w:r>
              <w:t>s</w:t>
            </w:r>
            <w:r w:rsidR="004A6BCD" w:rsidRPr="004A6BCD">
              <w:t xml:space="preserve"> for the voluntary display of an additional column in the NIP for </w:t>
            </w:r>
            <w:r w:rsidR="004A6BCD">
              <w:t xml:space="preserve">the food </w:t>
            </w:r>
            <w:r w:rsidR="004A6BCD" w:rsidRPr="004A6BCD">
              <w:t xml:space="preserve">as made up / consumed.  </w:t>
            </w:r>
          </w:p>
        </w:tc>
      </w:tr>
      <w:tr w:rsidR="000161E4" w:rsidRPr="0069263B" w14:paraId="3C8B5257"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cantSplit/>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0B66F190" w14:textId="423F96A3" w:rsidR="000161E4" w:rsidRPr="0069263B" w:rsidRDefault="009E0692" w:rsidP="0035491A">
            <w:pPr>
              <w:pStyle w:val="Table2"/>
              <w:rPr>
                <w:b w:val="0"/>
              </w:rPr>
            </w:pPr>
            <w:r>
              <w:lastRenderedPageBreak/>
              <w:t>Have</w:t>
            </w:r>
            <w:r w:rsidR="000161E4" w:rsidRPr="00720531">
              <w:t xml:space="preserve"> consistently applied the rule that if product is low enough in sodium and SFA the word ‘low’ is included in the thumbnail. This would normal</w:t>
            </w:r>
            <w:r>
              <w:t>ly</w:t>
            </w:r>
            <w:r w:rsidR="000161E4" w:rsidRPr="00720531">
              <w:t xml:space="preserve"> require potassium and fatty acid breakdown in the NIP. Consistent advice from Department of Health and HSR Advisory Committee has been that these descriptors would be exempt. Do not have data on potassium and fatty acids and would add costs to obtain from suppliers and expansion of NIP. If not exempt, request adequate time (36 months) to update artwork</w:t>
            </w:r>
            <w:r w:rsidR="0035491A">
              <w:t xml:space="preserve">. </w:t>
            </w:r>
          </w:p>
        </w:tc>
        <w:tc>
          <w:tcPr>
            <w:tcW w:w="1817" w:type="dxa"/>
            <w:tcBorders>
              <w:top w:val="single" w:sz="4" w:space="0" w:color="auto"/>
              <w:left w:val="single" w:sz="4" w:space="0" w:color="auto"/>
              <w:bottom w:val="single" w:sz="4" w:space="0" w:color="auto"/>
              <w:right w:val="single" w:sz="4" w:space="0" w:color="auto"/>
            </w:tcBorders>
          </w:tcPr>
          <w:p w14:paraId="074DE188" w14:textId="77777777" w:rsidR="000161E4" w:rsidRPr="0069263B" w:rsidRDefault="000161E4" w:rsidP="003D1BC2">
            <w:pPr>
              <w:pStyle w:val="Table2"/>
              <w:cnfStyle w:val="000000100000" w:firstRow="0" w:lastRow="0" w:firstColumn="0" w:lastColumn="0" w:oddVBand="0" w:evenVBand="0" w:oddHBand="1" w:evenHBand="0" w:firstRowFirstColumn="0" w:firstRowLastColumn="0" w:lastRowFirstColumn="0" w:lastRowLastColumn="0"/>
            </w:pPr>
            <w:r>
              <w:t>Coles</w:t>
            </w:r>
          </w:p>
        </w:tc>
        <w:tc>
          <w:tcPr>
            <w:tcW w:w="7885" w:type="dxa"/>
            <w:tcBorders>
              <w:top w:val="single" w:sz="4" w:space="0" w:color="auto"/>
              <w:left w:val="single" w:sz="4" w:space="0" w:color="auto"/>
              <w:bottom w:val="single" w:sz="4" w:space="0" w:color="auto"/>
              <w:right w:val="single" w:sz="4" w:space="0" w:color="auto"/>
            </w:tcBorders>
          </w:tcPr>
          <w:p w14:paraId="541B7604" w14:textId="36597169" w:rsidR="000161E4" w:rsidRPr="0069263B" w:rsidRDefault="0035491A" w:rsidP="00C33EF2">
            <w:pPr>
              <w:pStyle w:val="Table2"/>
              <w:cnfStyle w:val="000000100000" w:firstRow="0" w:lastRow="0" w:firstColumn="0" w:lastColumn="0" w:oddVBand="0" w:evenVBand="0" w:oddHBand="1" w:evenHBand="0" w:firstRowFirstColumn="0" w:firstRowLastColumn="0" w:lastRowFirstColumn="0" w:lastRowLastColumn="0"/>
            </w:pPr>
            <w:r>
              <w:t>FSANZ notes that the HSR Style Guide indicates that</w:t>
            </w:r>
            <w:r w:rsidR="000161E4">
              <w:t xml:space="preserve"> </w:t>
            </w:r>
            <w:r w:rsidRPr="0035491A">
              <w:t>nutrient icons will constitute nutrition conten</w:t>
            </w:r>
            <w:r w:rsidR="00C33EF2">
              <w:t xml:space="preserve">t claims under Standard 1.2.7 </w:t>
            </w:r>
            <w:r w:rsidRPr="0035491A">
              <w:t xml:space="preserve">of the </w:t>
            </w:r>
            <w:r w:rsidR="00C33EF2">
              <w:t>Code</w:t>
            </w:r>
            <w:r w:rsidRPr="0035491A">
              <w:t xml:space="preserve"> and must comply with the requirements of the Standard.</w:t>
            </w:r>
            <w:r w:rsidR="00C73E17">
              <w:t xml:space="preserve"> The </w:t>
            </w:r>
            <w:r w:rsidR="0046106F">
              <w:t xml:space="preserve">HSR Style Guide includes that use of an optional positive nutrient, and/or use of the terms ‘high’ and/or ‘low’ must be at a level consistent with the requirements of Standard 1.2.7. </w:t>
            </w:r>
          </w:p>
        </w:tc>
      </w:tr>
      <w:tr w:rsidR="000161E4" w:rsidRPr="0069263B" w14:paraId="3E40DB77"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5109F1CB" w14:textId="447B87BC" w:rsidR="007B39BE" w:rsidRPr="00BF1F5E" w:rsidRDefault="003D1BC2" w:rsidP="003D1BC2">
            <w:pPr>
              <w:pStyle w:val="Table2"/>
              <w:rPr>
                <w:b w:val="0"/>
              </w:rPr>
            </w:pPr>
            <w:r w:rsidRPr="00BF1F5E">
              <w:t>Highlight</w:t>
            </w:r>
            <w:r w:rsidR="000161E4" w:rsidRPr="00BF1F5E">
              <w:t xml:space="preserve"> the need to ensure that compliance obligations should not have the effect of dissuading food manufacturers from using the HSR system in preference to %DI labels.</w:t>
            </w:r>
          </w:p>
          <w:p w14:paraId="5C0CB116" w14:textId="38AEFA54" w:rsidR="007B39BE" w:rsidRPr="00BF1F5E" w:rsidRDefault="00082EA1" w:rsidP="00082EA1">
            <w:pPr>
              <w:pStyle w:val="Table2"/>
              <w:rPr>
                <w:b w:val="0"/>
              </w:rPr>
            </w:pPr>
            <w:r w:rsidRPr="00BF1F5E">
              <w:t>Agree that the use of ‘high’ and ‘low’ descriptors should constitute nutrition claims, but to ensure consistency with the requirements of Standard 1.2.7, FSANZ should ensure that the use of these descriptors does not trigger obligation</w:t>
            </w:r>
            <w:r w:rsidR="005C6F8B">
              <w:t>s</w:t>
            </w:r>
            <w:r w:rsidRPr="00BF1F5E">
              <w:t xml:space="preserve"> that would not be trig</w:t>
            </w:r>
            <w:r w:rsidR="00C06ED9">
              <w:t xml:space="preserve">gered by the use of %DI labels. </w:t>
            </w:r>
          </w:p>
          <w:p w14:paraId="6BBF0475" w14:textId="77777777" w:rsidR="003D1BC2" w:rsidRPr="00BF1F5E" w:rsidRDefault="000161E4" w:rsidP="003D1BC2">
            <w:pPr>
              <w:pStyle w:val="Table2"/>
              <w:rPr>
                <w:b w:val="0"/>
                <w:lang w:val="en-AU"/>
              </w:rPr>
            </w:pPr>
            <w:r w:rsidRPr="00BF1F5E">
              <w:t xml:space="preserve">In the interests of consistency in the long term, it may be appropriate that the use of any %DI label (outside the NIP) be considered a nutrition claim. </w:t>
            </w:r>
            <w:r w:rsidR="003D1BC2" w:rsidRPr="00BF1F5E">
              <w:rPr>
                <w:lang w:val="en-AU"/>
              </w:rPr>
              <w:t>At the very least, %DI labels should be included in the definition of ‘claims requiring nutrition information’ in Standard 1.2.8 to ensure that obligations such as those under clause 11 of Standard 1.2.8 are triggered by the use of %DI labels.</w:t>
            </w:r>
          </w:p>
          <w:p w14:paraId="06035DA2" w14:textId="77777777" w:rsidR="00656A01" w:rsidRDefault="00BF1F5E" w:rsidP="00C532C2">
            <w:pPr>
              <w:pStyle w:val="Table2"/>
              <w:rPr>
                <w:b w:val="0"/>
                <w:bCs/>
              </w:rPr>
            </w:pPr>
            <w:r w:rsidRPr="00BF1F5E">
              <w:t>Suggest amending Standard 1.2.8 to mandate the use of the HSR syst</w:t>
            </w:r>
            <w:r w:rsidR="00C532C2">
              <w:t xml:space="preserve">em if a nutrition claim is made, as they </w:t>
            </w:r>
            <w:r w:rsidRPr="00BF1F5E">
              <w:t xml:space="preserve">can be perceived by consumers to be the </w:t>
            </w:r>
            <w:r w:rsidRPr="00BF1F5E">
              <w:lastRenderedPageBreak/>
              <w:t>same</w:t>
            </w:r>
            <w:r w:rsidR="00C532C2">
              <w:t>/</w:t>
            </w:r>
            <w:r w:rsidRPr="00BF1F5E">
              <w:t xml:space="preserve">similar to health claims, and </w:t>
            </w:r>
            <w:r w:rsidR="00C532C2">
              <w:t>can</w:t>
            </w:r>
            <w:r w:rsidRPr="00BF1F5E">
              <w:t xml:space="preserve"> confuse and mislead consumers about the overall nutrition quality of a food. </w:t>
            </w:r>
          </w:p>
          <w:p w14:paraId="7B9AF420" w14:textId="31EA2B91" w:rsidR="00BF1F5E" w:rsidRPr="00BF1F5E" w:rsidRDefault="00BF1F5E" w:rsidP="00C532C2">
            <w:pPr>
              <w:pStyle w:val="Table2"/>
              <w:rPr>
                <w:b w:val="0"/>
              </w:rPr>
            </w:pPr>
            <w:r w:rsidRPr="00BF1F5E">
              <w:t xml:space="preserve">There is evidence that nutrition claims produce a halo effect, whereby the presence of the claim can cause consumers to rate more highly other nutrition attributes of the food not included in the claim. </w:t>
            </w:r>
            <w:r w:rsidR="008C5C20">
              <w:t>HSRs</w:t>
            </w:r>
            <w:r w:rsidRPr="00BF1F5E">
              <w:t xml:space="preserve"> on these products would enable consumers to correct any misapprehension of the overall quality of the food. Ideally, nutrition content claims would not be permitted unless the food meets NPSC.</w:t>
            </w:r>
          </w:p>
        </w:tc>
        <w:tc>
          <w:tcPr>
            <w:tcW w:w="1817" w:type="dxa"/>
            <w:tcBorders>
              <w:top w:val="single" w:sz="4" w:space="0" w:color="auto"/>
              <w:left w:val="single" w:sz="4" w:space="0" w:color="auto"/>
              <w:bottom w:val="single" w:sz="4" w:space="0" w:color="auto"/>
              <w:right w:val="single" w:sz="4" w:space="0" w:color="auto"/>
            </w:tcBorders>
          </w:tcPr>
          <w:p w14:paraId="02946ABC" w14:textId="77777777" w:rsidR="000161E4" w:rsidRDefault="000161E4" w:rsidP="003D1BC2">
            <w:pPr>
              <w:pStyle w:val="Table2"/>
              <w:cnfStyle w:val="000000010000" w:firstRow="0" w:lastRow="0" w:firstColumn="0" w:lastColumn="0" w:oddVBand="0" w:evenVBand="0" w:oddHBand="0" w:evenHBand="1" w:firstRowFirstColumn="0" w:firstRowLastColumn="0" w:lastRowFirstColumn="0" w:lastRowLastColumn="0"/>
            </w:pPr>
            <w:r>
              <w:lastRenderedPageBreak/>
              <w:t>OPC</w:t>
            </w:r>
          </w:p>
        </w:tc>
        <w:tc>
          <w:tcPr>
            <w:tcW w:w="7885" w:type="dxa"/>
            <w:tcBorders>
              <w:top w:val="single" w:sz="4" w:space="0" w:color="auto"/>
              <w:left w:val="single" w:sz="4" w:space="0" w:color="auto"/>
              <w:bottom w:val="single" w:sz="4" w:space="0" w:color="auto"/>
              <w:right w:val="single" w:sz="4" w:space="0" w:color="auto"/>
            </w:tcBorders>
          </w:tcPr>
          <w:p w14:paraId="5B589228" w14:textId="31496AE1" w:rsidR="00082EA1" w:rsidRPr="00BF1F5E" w:rsidRDefault="00C33EF2" w:rsidP="00BF1F5E">
            <w:pPr>
              <w:pStyle w:val="Table2"/>
              <w:cnfStyle w:val="000000010000" w:firstRow="0" w:lastRow="0" w:firstColumn="0" w:lastColumn="0" w:oddVBand="0" w:evenVBand="0" w:oddHBand="0" w:evenHBand="1" w:firstRowFirstColumn="0" w:firstRowLastColumn="0" w:lastRowFirstColumn="0" w:lastRowLastColumn="0"/>
            </w:pPr>
            <w:r>
              <w:t>Exemptions included in t</w:t>
            </w:r>
            <w:r w:rsidR="00082EA1" w:rsidRPr="00BF1F5E">
              <w:t xml:space="preserve">his </w:t>
            </w:r>
            <w:r w:rsidR="004C4776">
              <w:t>P</w:t>
            </w:r>
            <w:r>
              <w:t>roposal provide</w:t>
            </w:r>
            <w:r w:rsidR="00082EA1" w:rsidRPr="00BF1F5E">
              <w:t xml:space="preserve"> an incentive for food companies to adopt the HSR system. It is possible that the</w:t>
            </w:r>
            <w:r w:rsidR="007B39BE">
              <w:t xml:space="preserve"> recommended approach </w:t>
            </w:r>
            <w:r w:rsidR="00082EA1" w:rsidRPr="00BF1F5E">
              <w:t>could have the potential for companies to be less likely to include the optional positive nutrient within the HSR system graphic</w:t>
            </w:r>
            <w:r w:rsidR="00AC21AB">
              <w:t xml:space="preserve">. The </w:t>
            </w:r>
            <w:r w:rsidR="0046106F">
              <w:t xml:space="preserve">HSR Style Guide includes that use of an optional positive nutrient, and/or use of the terms ‘high’ and/or ‘low’ must be at a level consistent with the requirements of Standard 1.2.7. </w:t>
            </w:r>
          </w:p>
          <w:p w14:paraId="6FEBF9AC" w14:textId="77777777" w:rsidR="00082EA1" w:rsidRPr="00BF1F5E" w:rsidRDefault="00082EA1" w:rsidP="00082EA1">
            <w:pPr>
              <w:pStyle w:val="Table2"/>
              <w:cnfStyle w:val="000000010000" w:firstRow="0" w:lastRow="0" w:firstColumn="0" w:lastColumn="0" w:oddVBand="0" w:evenVBand="0" w:oddHBand="0" w:evenHBand="1" w:firstRowFirstColumn="0" w:firstRowLastColumn="0" w:lastRowFirstColumn="0" w:lastRowLastColumn="0"/>
            </w:pPr>
          </w:p>
          <w:p w14:paraId="23B95702" w14:textId="217A46A6" w:rsidR="008A08CF" w:rsidRDefault="00B12B9C" w:rsidP="00082EA1">
            <w:pPr>
              <w:pStyle w:val="Table2"/>
              <w:cnfStyle w:val="000000010000" w:firstRow="0" w:lastRow="0" w:firstColumn="0" w:lastColumn="0" w:oddVBand="0" w:evenVBand="0" w:oddHBand="0" w:evenHBand="1" w:firstRowFirstColumn="0" w:firstRowLastColumn="0" w:lastRowFirstColumn="0" w:lastRowLastColumn="0"/>
            </w:pPr>
            <w:r>
              <w:t xml:space="preserve">The use of ‘high’ and ‘low’ descriptors would be subject to nutrition content claim requirements when used as part of the HSR system or as part of any other front of pack labelling system. </w:t>
            </w:r>
          </w:p>
          <w:p w14:paraId="1395108A" w14:textId="77777777" w:rsidR="00082EA1" w:rsidRPr="00BF1F5E" w:rsidRDefault="00082EA1" w:rsidP="00082EA1">
            <w:pPr>
              <w:pStyle w:val="Table2"/>
              <w:cnfStyle w:val="000000010000" w:firstRow="0" w:lastRow="0" w:firstColumn="0" w:lastColumn="0" w:oddVBand="0" w:evenVBand="0" w:oddHBand="0" w:evenHBand="1" w:firstRowFirstColumn="0" w:firstRowLastColumn="0" w:lastRowFirstColumn="0" w:lastRowLastColumn="0"/>
            </w:pPr>
          </w:p>
          <w:p w14:paraId="77F65CB7" w14:textId="77777777" w:rsidR="00AC61A3" w:rsidRDefault="00082EA1" w:rsidP="00C525B6">
            <w:pPr>
              <w:pStyle w:val="Table2"/>
              <w:cnfStyle w:val="000000010000" w:firstRow="0" w:lastRow="0" w:firstColumn="0" w:lastColumn="0" w:oddVBand="0" w:evenVBand="0" w:oddHBand="0" w:evenHBand="1" w:firstRowFirstColumn="0" w:firstRowLastColumn="0" w:lastRowFirstColumn="0" w:lastRowLastColumn="0"/>
            </w:pPr>
            <w:r w:rsidRPr="00BF1F5E">
              <w:t>Imposing additional requirements on other %DI labelling schemes</w:t>
            </w:r>
            <w:r w:rsidR="008C5C20">
              <w:t xml:space="preserve"> and on other nutrition content claims</w:t>
            </w:r>
            <w:r w:rsidR="00C525B6">
              <w:t xml:space="preserve"> would require a detailed assessment and public consultation and</w:t>
            </w:r>
            <w:r w:rsidRPr="00BF1F5E">
              <w:t xml:space="preserve"> </w:t>
            </w:r>
            <w:r w:rsidR="00C525B6">
              <w:t>would significantly broaden</w:t>
            </w:r>
            <w:r w:rsidRPr="00BF1F5E">
              <w:t xml:space="preserve"> the scope of this proposal.</w:t>
            </w:r>
            <w:r w:rsidRPr="00BF1F5E">
              <w:rPr>
                <w:b/>
              </w:rPr>
              <w:t xml:space="preserve"> </w:t>
            </w:r>
            <w:r w:rsidR="0061194B">
              <w:t>No changes to the approach proposed in the call for submission</w:t>
            </w:r>
            <w:r w:rsidR="001C1343">
              <w:t>s</w:t>
            </w:r>
            <w:r w:rsidR="0061194B">
              <w:t xml:space="preserve"> have been made. </w:t>
            </w:r>
          </w:p>
          <w:p w14:paraId="414FE319" w14:textId="77777777" w:rsidR="0046106F" w:rsidRDefault="0046106F" w:rsidP="00C525B6">
            <w:pPr>
              <w:pStyle w:val="Table2"/>
              <w:cnfStyle w:val="000000010000" w:firstRow="0" w:lastRow="0" w:firstColumn="0" w:lastColumn="0" w:oddVBand="0" w:evenVBand="0" w:oddHBand="0" w:evenHBand="1" w:firstRowFirstColumn="0" w:firstRowLastColumn="0" w:lastRowFirstColumn="0" w:lastRowLastColumn="0"/>
            </w:pPr>
          </w:p>
          <w:p w14:paraId="5E31F996" w14:textId="352D100E" w:rsidR="00AC61A3" w:rsidRPr="0061194B" w:rsidRDefault="0046106F" w:rsidP="001272ED">
            <w:pPr>
              <w:pStyle w:val="Table2"/>
              <w:cnfStyle w:val="000000010000" w:firstRow="0" w:lastRow="0" w:firstColumn="0" w:lastColumn="0" w:oddVBand="0" w:evenVBand="0" w:oddHBand="0" w:evenHBand="1" w:firstRowFirstColumn="0" w:firstRowLastColumn="0" w:lastRowFirstColumn="0" w:lastRowLastColumn="0"/>
            </w:pPr>
            <w:r>
              <w:t xml:space="preserve">Forum Ministers agreed that the HSR system would be implemented on a voluntary basis over </w:t>
            </w:r>
            <w:r w:rsidR="001272ED">
              <w:t>five</w:t>
            </w:r>
            <w:r w:rsidR="00A852C4">
              <w:t xml:space="preserve"> years (from 27 June 2014). </w:t>
            </w:r>
            <w:r>
              <w:t>Amending Standard 1.2.8 to mandate the use of the HSR system would be contrary to this Forum decision, and beyond the scope of this Proposal</w:t>
            </w:r>
          </w:p>
        </w:tc>
      </w:tr>
      <w:tr w:rsidR="000161E4" w:rsidRPr="0069263B" w14:paraId="7BD38FCD"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67FCA4B4" w14:textId="77777777" w:rsidR="000575D3" w:rsidRDefault="00FA36CD" w:rsidP="003D1BC2">
            <w:pPr>
              <w:pStyle w:val="Table2"/>
              <w:rPr>
                <w:b w:val="0"/>
              </w:rPr>
            </w:pPr>
            <w:r>
              <w:lastRenderedPageBreak/>
              <w:t>F</w:t>
            </w:r>
            <w:r w:rsidR="000161E4" w:rsidRPr="00685AE4">
              <w:t>ront-of-pack nutrition labelling schemes that do no more than repeat some or all of the mandato</w:t>
            </w:r>
            <w:r>
              <w:t xml:space="preserve">ry or %DI information from NIPs </w:t>
            </w:r>
            <w:r w:rsidR="000161E4" w:rsidRPr="00685AE4">
              <w:t>should be excluded from the definiti</w:t>
            </w:r>
            <w:r>
              <w:t xml:space="preserve">on of ‘nutrition content claim’. </w:t>
            </w:r>
          </w:p>
          <w:p w14:paraId="3C84EB35" w14:textId="02E8C42F" w:rsidR="000161E4" w:rsidRPr="00685AE4" w:rsidRDefault="000575D3" w:rsidP="003D1BC2">
            <w:pPr>
              <w:pStyle w:val="Table2"/>
              <w:rPr>
                <w:b w:val="0"/>
              </w:rPr>
            </w:pPr>
            <w:r>
              <w:t>I</w:t>
            </w:r>
            <w:r w:rsidRPr="000575D3">
              <w:t xml:space="preserve">f such declarations are accompanied by qualifiers such as high or low, or if declarations are made in respect of other nutrients, these should fall within the scope of nutrition content claim and be regulated according to the existing terms of Standard 1.2.7, whether made in the context of HSR, </w:t>
            </w:r>
            <w:r w:rsidR="005C2401">
              <w:t>DIG</w:t>
            </w:r>
            <w:r w:rsidR="00666AB6">
              <w:t xml:space="preserve"> </w:t>
            </w:r>
            <w:r w:rsidRPr="000575D3">
              <w:t xml:space="preserve">or any other competing scheme. </w:t>
            </w:r>
          </w:p>
          <w:p w14:paraId="5240279F" w14:textId="5A5E1892" w:rsidR="000161E4" w:rsidRPr="00685AE4" w:rsidRDefault="000161E4" w:rsidP="003D1BC2">
            <w:pPr>
              <w:pStyle w:val="Table2"/>
              <w:rPr>
                <w:b w:val="0"/>
              </w:rPr>
            </w:pPr>
            <w:r w:rsidRPr="00685AE4">
              <w:t>The proposal would confer special status on the HSR scheme compared to other schemes (such as the food indust</w:t>
            </w:r>
            <w:r w:rsidR="000575D3">
              <w:t>ry’s</w:t>
            </w:r>
            <w:r w:rsidR="00666AB6">
              <w:t xml:space="preserve"> DIG)</w:t>
            </w:r>
            <w:r w:rsidR="000575D3">
              <w:t xml:space="preserve">. </w:t>
            </w:r>
          </w:p>
          <w:p w14:paraId="77427760" w14:textId="06B1E4E5" w:rsidR="000161E4" w:rsidRPr="00685AE4" w:rsidRDefault="000161E4" w:rsidP="00F602CD">
            <w:pPr>
              <w:pStyle w:val="Table2"/>
              <w:rPr>
                <w:b w:val="0"/>
              </w:rPr>
            </w:pPr>
            <w:r w:rsidRPr="00685AE4">
              <w:t xml:space="preserve">To give regulatory preference to the HSR over its alternatives offends the Government’s policy of contestability. An HSR license is a service and the Government should not, through regulation, engage in anti-competitive discriminatory conduct that does not allow alternative services (like DIG) to operate on a comparable basis. The </w:t>
            </w:r>
            <w:r w:rsidRPr="00685AE4">
              <w:lastRenderedPageBreak/>
              <w:t>Department of Finance’s Contestability Framework should be applied to ensure that all equivalent schemes are regulatory in the same manner.</w:t>
            </w:r>
          </w:p>
        </w:tc>
        <w:tc>
          <w:tcPr>
            <w:tcW w:w="1817" w:type="dxa"/>
            <w:tcBorders>
              <w:top w:val="single" w:sz="4" w:space="0" w:color="auto"/>
              <w:left w:val="single" w:sz="4" w:space="0" w:color="auto"/>
              <w:bottom w:val="single" w:sz="4" w:space="0" w:color="auto"/>
              <w:right w:val="single" w:sz="4" w:space="0" w:color="auto"/>
            </w:tcBorders>
          </w:tcPr>
          <w:p w14:paraId="4BEAA81E" w14:textId="77777777" w:rsidR="000161E4" w:rsidRDefault="000161E4" w:rsidP="003D1BC2">
            <w:pPr>
              <w:pStyle w:val="Table2"/>
              <w:cnfStyle w:val="000000100000" w:firstRow="0" w:lastRow="0" w:firstColumn="0" w:lastColumn="0" w:oddVBand="0" w:evenVBand="0" w:oddHBand="1" w:evenHBand="0" w:firstRowFirstColumn="0" w:firstRowLastColumn="0" w:lastRowFirstColumn="0" w:lastRowLastColumn="0"/>
            </w:pPr>
            <w:r>
              <w:lastRenderedPageBreak/>
              <w:t>AFGC</w:t>
            </w:r>
          </w:p>
        </w:tc>
        <w:tc>
          <w:tcPr>
            <w:tcW w:w="7885" w:type="dxa"/>
            <w:tcBorders>
              <w:top w:val="single" w:sz="4" w:space="0" w:color="auto"/>
              <w:left w:val="single" w:sz="4" w:space="0" w:color="auto"/>
              <w:bottom w:val="single" w:sz="4" w:space="0" w:color="auto"/>
              <w:right w:val="single" w:sz="4" w:space="0" w:color="auto"/>
            </w:tcBorders>
          </w:tcPr>
          <w:p w14:paraId="234278A1" w14:textId="7355F421" w:rsidR="00C54316" w:rsidRDefault="00930416" w:rsidP="003D1BC2">
            <w:pPr>
              <w:pStyle w:val="Table2"/>
              <w:cnfStyle w:val="000000100000" w:firstRow="0" w:lastRow="0" w:firstColumn="0" w:lastColumn="0" w:oddVBand="0" w:evenVBand="0" w:oddHBand="1" w:evenHBand="0" w:firstRowFirstColumn="0" w:firstRowLastColumn="0" w:lastRowFirstColumn="0" w:lastRowLastColumn="0"/>
            </w:pPr>
            <w:r>
              <w:t>In January 2015</w:t>
            </w:r>
            <w:r w:rsidR="004A7055">
              <w:t>,</w:t>
            </w:r>
            <w:r>
              <w:t xml:space="preserve"> t</w:t>
            </w:r>
            <w:r w:rsidR="00BD3731">
              <w:t>he Forum agreed that elements of the HSR system should be exemp</w:t>
            </w:r>
            <w:r w:rsidR="00B34EBB">
              <w:t>t from Code requirements. This P</w:t>
            </w:r>
            <w:r w:rsidR="00BD3731">
              <w:t>roposal implements the Forum</w:t>
            </w:r>
            <w:r w:rsidR="00B34EBB">
              <w:t>s’</w:t>
            </w:r>
            <w:r w:rsidR="00BD3731">
              <w:t xml:space="preserve"> decision</w:t>
            </w:r>
            <w:r>
              <w:t xml:space="preserve"> and is intended to support </w:t>
            </w:r>
            <w:r w:rsidR="00334F68">
              <w:t xml:space="preserve">the </w:t>
            </w:r>
            <w:r>
              <w:t>voluntary uptake of the HSR system</w:t>
            </w:r>
            <w:r w:rsidR="00BD3731">
              <w:t xml:space="preserve">. </w:t>
            </w:r>
            <w:r w:rsidR="00790B65">
              <w:t xml:space="preserve">FSANZ acknowledges that while some submitters wish to broaden the exemption to other front-of-pack labelling schemes (e.g. </w:t>
            </w:r>
            <w:r w:rsidR="00C14E1B">
              <w:t xml:space="preserve">the </w:t>
            </w:r>
            <w:r w:rsidR="00790B65">
              <w:t xml:space="preserve">DIG), other submitters have </w:t>
            </w:r>
            <w:r>
              <w:t xml:space="preserve">sought to impose additional requirements on </w:t>
            </w:r>
            <w:r w:rsidR="00C14E1B">
              <w:t>those</w:t>
            </w:r>
            <w:r>
              <w:t xml:space="preserve"> schemes. FSANZ is of the view that this would require further assessment and public consultation</w:t>
            </w:r>
            <w:r w:rsidR="00C14E1B">
              <w:t xml:space="preserve"> and would delay the gazettal of the draft variations recommended in the Proposal. This is not desirable as t</w:t>
            </w:r>
            <w:r w:rsidR="00F428D7">
              <w:t xml:space="preserve">he draft variations </w:t>
            </w:r>
            <w:r w:rsidR="00C14E1B">
              <w:t>were intended to</w:t>
            </w:r>
            <w:r w:rsidR="00F428D7">
              <w:t xml:space="preserve"> ensure the smooth transition of Standard 1.2.7</w:t>
            </w:r>
            <w:r w:rsidR="00C14E1B">
              <w:t xml:space="preserve"> when it becomes mandatory in January 2016</w:t>
            </w:r>
            <w:r w:rsidR="00334F68">
              <w:t>,</w:t>
            </w:r>
            <w:r w:rsidR="00F428D7">
              <w:t xml:space="preserve"> and that the exemptions for the trademarked elements of the HSR system take effect as soon as possible. </w:t>
            </w:r>
          </w:p>
          <w:p w14:paraId="6F01C435" w14:textId="77777777" w:rsidR="00AC61A3" w:rsidRDefault="00AC61A3" w:rsidP="00F428D7">
            <w:pPr>
              <w:pStyle w:val="Table2"/>
              <w:cnfStyle w:val="000000100000" w:firstRow="0" w:lastRow="0" w:firstColumn="0" w:lastColumn="0" w:oddVBand="0" w:evenVBand="0" w:oddHBand="1" w:evenHBand="0" w:firstRowFirstColumn="0" w:firstRowLastColumn="0" w:lastRowFirstColumn="0" w:lastRowLastColumn="0"/>
            </w:pPr>
          </w:p>
          <w:p w14:paraId="43DB9A07" w14:textId="1CB2B25F" w:rsidR="007B012A" w:rsidRDefault="00F428D7" w:rsidP="007B012A">
            <w:pPr>
              <w:pStyle w:val="Table2"/>
              <w:cnfStyle w:val="000000100000" w:firstRow="0" w:lastRow="0" w:firstColumn="0" w:lastColumn="0" w:oddVBand="0" w:evenVBand="0" w:oddHBand="1" w:evenHBand="0" w:firstRowFirstColumn="0" w:firstRowLastColumn="0" w:lastRowFirstColumn="0" w:lastRowLastColumn="0"/>
            </w:pPr>
            <w:r>
              <w:t xml:space="preserve">Regarding the </w:t>
            </w:r>
            <w:r w:rsidR="007B012A">
              <w:t xml:space="preserve">Department of </w:t>
            </w:r>
            <w:r w:rsidRPr="00F428D7">
              <w:t>Finance’s Contestability Framework</w:t>
            </w:r>
            <w:r w:rsidR="007B012A">
              <w:t xml:space="preserve">, FSANZ understands that this framework is not relevant to the issue of </w:t>
            </w:r>
            <w:r w:rsidR="00931C60">
              <w:t>t</w:t>
            </w:r>
            <w:r w:rsidR="00B34EBB">
              <w:t>he conditions applying to front-</w:t>
            </w:r>
            <w:r w:rsidR="00931C60">
              <w:t>of</w:t>
            </w:r>
            <w:r w:rsidR="00B34EBB">
              <w:t>-</w:t>
            </w:r>
            <w:r w:rsidR="00931C60">
              <w:t>pack labelling schemes</w:t>
            </w:r>
            <w:r w:rsidR="007B012A">
              <w:t xml:space="preserve">. The Department of Finance’s website states that: </w:t>
            </w:r>
          </w:p>
          <w:p w14:paraId="4EF6A76D" w14:textId="77777777" w:rsidR="007B012A" w:rsidRDefault="007B012A" w:rsidP="007B012A">
            <w:pPr>
              <w:pStyle w:val="Table2"/>
              <w:cnfStyle w:val="000000100000" w:firstRow="0" w:lastRow="0" w:firstColumn="0" w:lastColumn="0" w:oddVBand="0" w:evenVBand="0" w:oddHBand="1" w:evenHBand="0" w:firstRowFirstColumn="0" w:firstRowLastColumn="0" w:lastRowFirstColumn="0" w:lastRowLastColumn="0"/>
            </w:pPr>
          </w:p>
          <w:p w14:paraId="6191C4DE" w14:textId="5AB0E2B9" w:rsidR="007B012A" w:rsidRPr="007B012A" w:rsidRDefault="007B012A" w:rsidP="007B012A">
            <w:pPr>
              <w:pStyle w:val="Table2"/>
              <w:cnfStyle w:val="000000100000" w:firstRow="0" w:lastRow="0" w:firstColumn="0" w:lastColumn="0" w:oddVBand="0" w:evenVBand="0" w:oddHBand="1" w:evenHBand="0" w:firstRowFirstColumn="0" w:firstRowLastColumn="0" w:lastRowFirstColumn="0" w:lastRowLastColumn="0"/>
              <w:rPr>
                <w:i/>
              </w:rPr>
            </w:pPr>
            <w:r w:rsidRPr="007B012A">
              <w:rPr>
                <w:i/>
              </w:rPr>
              <w:t>In</w:t>
            </w:r>
            <w:r>
              <w:t xml:space="preserve"> </w:t>
            </w:r>
            <w:r w:rsidRPr="007B012A">
              <w:rPr>
                <w:i/>
              </w:rPr>
              <w:t xml:space="preserve">the 2014-15 Federal Budget, the Government introduced a Commonwealth-wide Contestability Framework to be applied through the Contestability Programme led by the Department of Finance. </w:t>
            </w:r>
          </w:p>
          <w:p w14:paraId="46CEAC0A" w14:textId="57D7F197" w:rsidR="007B012A" w:rsidRDefault="007B012A" w:rsidP="00F428D7">
            <w:pPr>
              <w:pStyle w:val="Table2"/>
              <w:cnfStyle w:val="000000100000" w:firstRow="0" w:lastRow="0" w:firstColumn="0" w:lastColumn="0" w:oddVBand="0" w:evenVBand="0" w:oddHBand="1" w:evenHBand="0" w:firstRowFirstColumn="0" w:firstRowLastColumn="0" w:lastRowFirstColumn="0" w:lastRowLastColumn="0"/>
            </w:pPr>
            <w:r w:rsidRPr="007B012A">
              <w:rPr>
                <w:i/>
              </w:rPr>
              <w:t xml:space="preserve">The Contestability Programme </w:t>
            </w:r>
            <w:r w:rsidRPr="007B012A">
              <w:rPr>
                <w:i/>
                <w:lang w:val="en"/>
              </w:rPr>
              <w:t>will assess all current government functions to determine whether particular functions should be open to competition and how competition should occur. The purpose of the Contestability Programme is to encourage Commonwealth entities to adopt a more commercial mindset and to continually seek ways of improving the performance of existing or proposed government functions</w:t>
            </w:r>
            <w:r>
              <w:rPr>
                <w:lang w:val="en"/>
              </w:rPr>
              <w:t>.</w:t>
            </w:r>
          </w:p>
          <w:p w14:paraId="112EEE69" w14:textId="77777777" w:rsidR="007B012A" w:rsidRDefault="007B012A" w:rsidP="00F428D7">
            <w:pPr>
              <w:pStyle w:val="Table2"/>
              <w:cnfStyle w:val="000000100000" w:firstRow="0" w:lastRow="0" w:firstColumn="0" w:lastColumn="0" w:oddVBand="0" w:evenVBand="0" w:oddHBand="1" w:evenHBand="0" w:firstRowFirstColumn="0" w:firstRowLastColumn="0" w:lastRowFirstColumn="0" w:lastRowLastColumn="0"/>
            </w:pPr>
          </w:p>
          <w:p w14:paraId="6366DA5A" w14:textId="1A1873A6" w:rsidR="00931C60" w:rsidRPr="0069263B" w:rsidRDefault="00931C60" w:rsidP="00F428D7">
            <w:pPr>
              <w:pStyle w:val="Table2"/>
              <w:cnfStyle w:val="000000100000" w:firstRow="0" w:lastRow="0" w:firstColumn="0" w:lastColumn="0" w:oddVBand="0" w:evenVBand="0" w:oddHBand="1" w:evenHBand="0" w:firstRowFirstColumn="0" w:firstRowLastColumn="0" w:lastRowFirstColumn="0" w:lastRowLastColumn="0"/>
            </w:pPr>
            <w:r>
              <w:t xml:space="preserve">The application of an exemption from claim conditions in the Code is not a government function. </w:t>
            </w:r>
          </w:p>
        </w:tc>
      </w:tr>
      <w:tr w:rsidR="000161E4" w:rsidRPr="0069263B" w14:paraId="3EE72755"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010000" w:firstRow="0" w:lastRow="0" w:firstColumn="0" w:lastColumn="0" w:oddVBand="0" w:evenVBand="0" w:oddHBand="0" w:evenHBand="1" w:firstRowFirstColumn="0" w:firstRowLastColumn="0" w:lastRowFirstColumn="0" w:lastRowLastColumn="0"/>
          <w:wAfter w:w="62" w:type="dxa"/>
          <w:trHeight w:val="3055"/>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7E4094E5" w14:textId="37A849E8" w:rsidR="000161E4" w:rsidRDefault="000161E4" w:rsidP="003D1BC2">
            <w:pPr>
              <w:pStyle w:val="Table2"/>
              <w:rPr>
                <w:b w:val="0"/>
              </w:rPr>
            </w:pPr>
            <w:r w:rsidRPr="00685AE4">
              <w:lastRenderedPageBreak/>
              <w:t>Recommends that the same exemptions be extended, including to other front of pack labelling schemes such as the Daily Intake Guide and where the FOPL information does no more than repeat some or all the mandatory or %DI information from the NIP.</w:t>
            </w:r>
          </w:p>
          <w:p w14:paraId="54294DC0" w14:textId="77777777" w:rsidR="00935215" w:rsidRPr="00685AE4" w:rsidRDefault="00935215" w:rsidP="003D1BC2">
            <w:pPr>
              <w:pStyle w:val="Table2"/>
              <w:rPr>
                <w:b w:val="0"/>
              </w:rPr>
            </w:pPr>
          </w:p>
          <w:p w14:paraId="0E9D04EA" w14:textId="413689B9" w:rsidR="000161E4" w:rsidRDefault="000575D3" w:rsidP="003D1BC2">
            <w:pPr>
              <w:pStyle w:val="Table2"/>
              <w:rPr>
                <w:b w:val="0"/>
              </w:rPr>
            </w:pPr>
            <w:r w:rsidRPr="000575D3">
              <w:t>T</w:t>
            </w:r>
            <w:r w:rsidR="000161E4" w:rsidRPr="000575D3">
              <w:t>his exemption should extend to HSR and DIG energy, with or without %DI, as it is simply repeating information from the NIP in a front of pack nutrient labelling system.</w:t>
            </w:r>
          </w:p>
          <w:p w14:paraId="5F8D8B63" w14:textId="77777777" w:rsidR="00935215" w:rsidRPr="000575D3" w:rsidRDefault="00935215" w:rsidP="003D1BC2">
            <w:pPr>
              <w:pStyle w:val="Table2"/>
              <w:rPr>
                <w:b w:val="0"/>
              </w:rPr>
            </w:pPr>
          </w:p>
          <w:p w14:paraId="72D0CA19" w14:textId="37359DC6" w:rsidR="00C06ED9" w:rsidRDefault="00B832E2" w:rsidP="003D609A">
            <w:pPr>
              <w:pStyle w:val="Table2"/>
              <w:rPr>
                <w:b w:val="0"/>
              </w:rPr>
            </w:pPr>
            <w:r w:rsidRPr="00BD3731">
              <w:t>However, if draft variation Standard 1.1.1, 2A (2) (a) is retained, the wording needs to incorporate ‘per serve’, ‘per 100g/100ml’, ‘per pack’ and ‘per [reference] portion’.</w:t>
            </w:r>
          </w:p>
        </w:tc>
        <w:tc>
          <w:tcPr>
            <w:tcW w:w="1817" w:type="dxa"/>
            <w:tcBorders>
              <w:top w:val="single" w:sz="4" w:space="0" w:color="auto"/>
              <w:left w:val="single" w:sz="4" w:space="0" w:color="auto"/>
              <w:bottom w:val="single" w:sz="4" w:space="0" w:color="auto"/>
              <w:right w:val="single" w:sz="4" w:space="0" w:color="auto"/>
            </w:tcBorders>
          </w:tcPr>
          <w:p w14:paraId="4EE60BDB" w14:textId="77777777" w:rsidR="000161E4" w:rsidRDefault="000161E4" w:rsidP="003D1BC2">
            <w:pPr>
              <w:pStyle w:val="Table2"/>
              <w:cnfStyle w:val="000000010000" w:firstRow="0" w:lastRow="0" w:firstColumn="0" w:lastColumn="0" w:oddVBand="0" w:evenVBand="0" w:oddHBand="0" w:evenHBand="1" w:firstRowFirstColumn="0" w:firstRowLastColumn="0" w:lastRowFirstColumn="0" w:lastRowLastColumn="0"/>
            </w:pPr>
            <w:r>
              <w:t>Ai Group</w:t>
            </w:r>
          </w:p>
        </w:tc>
        <w:tc>
          <w:tcPr>
            <w:tcW w:w="7885" w:type="dxa"/>
            <w:tcBorders>
              <w:top w:val="single" w:sz="4" w:space="0" w:color="auto"/>
              <w:left w:val="single" w:sz="4" w:space="0" w:color="auto"/>
              <w:bottom w:val="single" w:sz="4" w:space="0" w:color="auto"/>
              <w:right w:val="single" w:sz="4" w:space="0" w:color="auto"/>
            </w:tcBorders>
          </w:tcPr>
          <w:p w14:paraId="273FEF9C" w14:textId="11DD1A87" w:rsidR="000161E4" w:rsidRDefault="00E71B6F" w:rsidP="003D1BC2">
            <w:pPr>
              <w:pStyle w:val="Table2"/>
              <w:cnfStyle w:val="000000010000" w:firstRow="0" w:lastRow="0" w:firstColumn="0" w:lastColumn="0" w:oddVBand="0" w:evenVBand="0" w:oddHBand="0" w:evenHBand="1" w:firstRowFirstColumn="0" w:firstRowLastColumn="0" w:lastRowFirstColumn="0" w:lastRowLastColumn="0"/>
            </w:pPr>
            <w:r>
              <w:t>Response a</w:t>
            </w:r>
            <w:r w:rsidR="000161E4" w:rsidRPr="00E71B6F">
              <w:t>s above</w:t>
            </w:r>
            <w:r w:rsidR="00BD3731" w:rsidRPr="00E71B6F">
              <w:t>.</w:t>
            </w:r>
            <w:r w:rsidR="00BD3731">
              <w:t xml:space="preserve"> </w:t>
            </w:r>
          </w:p>
          <w:p w14:paraId="2CD29252" w14:textId="77777777" w:rsidR="00BD3731" w:rsidRDefault="00BD3731" w:rsidP="003D1BC2">
            <w:pPr>
              <w:pStyle w:val="Table2"/>
              <w:cnfStyle w:val="000000010000" w:firstRow="0" w:lastRow="0" w:firstColumn="0" w:lastColumn="0" w:oddVBand="0" w:evenVBand="0" w:oddHBand="0" w:evenHBand="1" w:firstRowFirstColumn="0" w:firstRowLastColumn="0" w:lastRowFirstColumn="0" w:lastRowLastColumn="0"/>
            </w:pPr>
          </w:p>
          <w:p w14:paraId="3038724B"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00858702"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1D991073"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1418D284"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1750BC8D"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0F5E3DF6"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2D7BC233"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7FD5E6B8"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4F989118"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2B033776"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4C010E47" w14:textId="77777777" w:rsidR="00935215" w:rsidRDefault="00935215" w:rsidP="003D1BC2">
            <w:pPr>
              <w:pStyle w:val="Table2"/>
              <w:cnfStyle w:val="000000010000" w:firstRow="0" w:lastRow="0" w:firstColumn="0" w:lastColumn="0" w:oddVBand="0" w:evenVBand="0" w:oddHBand="0" w:evenHBand="1" w:firstRowFirstColumn="0" w:firstRowLastColumn="0" w:lastRowFirstColumn="0" w:lastRowLastColumn="0"/>
            </w:pPr>
          </w:p>
          <w:p w14:paraId="3F2ABE1D" w14:textId="59FA1D6A" w:rsidR="00BD3731" w:rsidRDefault="009B564C" w:rsidP="003D1BC2">
            <w:pPr>
              <w:pStyle w:val="Table2"/>
              <w:cnfStyle w:val="000000010000" w:firstRow="0" w:lastRow="0" w:firstColumn="0" w:lastColumn="0" w:oddVBand="0" w:evenVBand="0" w:oddHBand="0" w:evenHBand="1" w:firstRowFirstColumn="0" w:firstRowLastColumn="0" w:lastRowFirstColumn="0" w:lastRowLastColumn="0"/>
            </w:pPr>
            <w:r>
              <w:t xml:space="preserve">The draft variations have been amended to </w:t>
            </w:r>
            <w:r w:rsidRPr="009B564C">
              <w:t xml:space="preserve">add that HSR images also do not cease to be Permitted Health Star Rating symbols if the image indicates energy or nutrient content on a per serving or per reference portion basis (in addition to per </w:t>
            </w:r>
            <w:r w:rsidR="00EF28D0">
              <w:t xml:space="preserve">pack). </w:t>
            </w:r>
          </w:p>
          <w:p w14:paraId="6A61A440" w14:textId="6E0B7C67" w:rsidR="00AC61A3" w:rsidRPr="0069263B" w:rsidRDefault="00AC61A3" w:rsidP="00666AB6">
            <w:pPr>
              <w:pStyle w:val="Table2"/>
              <w:cnfStyle w:val="000000010000" w:firstRow="0" w:lastRow="0" w:firstColumn="0" w:lastColumn="0" w:oddVBand="0" w:evenVBand="0" w:oddHBand="0" w:evenHBand="1" w:firstRowFirstColumn="0" w:firstRowLastColumn="0" w:lastRowFirstColumn="0" w:lastRowLastColumn="0"/>
            </w:pPr>
          </w:p>
        </w:tc>
      </w:tr>
      <w:tr w:rsidR="00C06ED9" w:rsidRPr="0069263B" w14:paraId="180A419D" w14:textId="77777777" w:rsidTr="001E48EA">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952" w:type="dxa"/>
            <w:tcBorders>
              <w:top w:val="single" w:sz="4" w:space="0" w:color="auto"/>
              <w:left w:val="single" w:sz="4" w:space="0" w:color="auto"/>
              <w:bottom w:val="single" w:sz="4" w:space="0" w:color="auto"/>
              <w:right w:val="single" w:sz="4" w:space="0" w:color="auto"/>
            </w:tcBorders>
          </w:tcPr>
          <w:p w14:paraId="248747C8" w14:textId="2544101C" w:rsidR="00C06ED9" w:rsidRDefault="00C06ED9" w:rsidP="00F930B4">
            <w:pPr>
              <w:pStyle w:val="Table2"/>
              <w:rPr>
                <w:b w:val="0"/>
              </w:rPr>
            </w:pPr>
            <w:bookmarkStart w:id="58" w:name="_Toc370223473"/>
            <w:bookmarkStart w:id="59" w:name="_Toc370225388"/>
            <w:bookmarkStart w:id="60" w:name="_Toc175381450"/>
            <w:bookmarkEnd w:id="50"/>
            <w:bookmarkEnd w:id="51"/>
            <w:bookmarkEnd w:id="52"/>
            <w:bookmarkEnd w:id="53"/>
            <w:bookmarkEnd w:id="54"/>
            <w:bookmarkEnd w:id="55"/>
            <w:r w:rsidRPr="00233E0A">
              <w:t xml:space="preserve">Inclusion in Standard 1.2.8 of the HSR system elements that are considered nutrition content claims should be considered: </w:t>
            </w:r>
          </w:p>
          <w:p w14:paraId="74D97D7F" w14:textId="77777777" w:rsidR="00C06ED9" w:rsidRPr="00233E0A" w:rsidRDefault="00C06ED9" w:rsidP="00F930B4">
            <w:pPr>
              <w:pStyle w:val="Table2"/>
              <w:rPr>
                <w:b w:val="0"/>
              </w:rPr>
            </w:pPr>
          </w:p>
          <w:p w14:paraId="56B07A08" w14:textId="77777777" w:rsidR="00C06ED9" w:rsidRPr="00233E0A" w:rsidRDefault="00C06ED9" w:rsidP="00F930B4">
            <w:pPr>
              <w:pStyle w:val="Table2"/>
              <w:rPr>
                <w:b w:val="0"/>
              </w:rPr>
            </w:pPr>
            <w:r w:rsidRPr="00233E0A">
              <w:t>•</w:t>
            </w:r>
            <w:r w:rsidRPr="00233E0A">
              <w:tab/>
              <w:t>Any additional positive nutrient</w:t>
            </w:r>
          </w:p>
          <w:p w14:paraId="4B46595A" w14:textId="77777777" w:rsidR="00C06ED9" w:rsidRDefault="00C06ED9" w:rsidP="00F930B4">
            <w:pPr>
              <w:pStyle w:val="Table2"/>
              <w:rPr>
                <w:b w:val="0"/>
              </w:rPr>
            </w:pPr>
            <w:r w:rsidRPr="00233E0A">
              <w:t>•</w:t>
            </w:r>
            <w:r w:rsidRPr="00233E0A">
              <w:tab/>
              <w:t>The words ‘high’ or ‘low’ used in conjunction with HSR system</w:t>
            </w:r>
            <w:r>
              <w:t>.</w:t>
            </w:r>
          </w:p>
        </w:tc>
        <w:tc>
          <w:tcPr>
            <w:tcW w:w="1817" w:type="dxa"/>
            <w:tcBorders>
              <w:top w:val="single" w:sz="4" w:space="0" w:color="auto"/>
              <w:left w:val="single" w:sz="4" w:space="0" w:color="auto"/>
              <w:bottom w:val="single" w:sz="4" w:space="0" w:color="auto"/>
              <w:right w:val="single" w:sz="4" w:space="0" w:color="auto"/>
            </w:tcBorders>
          </w:tcPr>
          <w:p w14:paraId="64DEA05E" w14:textId="77777777" w:rsidR="00C06ED9" w:rsidRDefault="00C06ED9" w:rsidP="00F930B4">
            <w:pPr>
              <w:pStyle w:val="Table2"/>
              <w:cnfStyle w:val="000000100000" w:firstRow="0" w:lastRow="0" w:firstColumn="0" w:lastColumn="0" w:oddVBand="0" w:evenVBand="0" w:oddHBand="1" w:evenHBand="0" w:firstRowFirstColumn="0" w:firstRowLastColumn="0" w:lastRowFirstColumn="0" w:lastRowLastColumn="0"/>
            </w:pPr>
            <w:r>
              <w:t>Simplot</w:t>
            </w:r>
          </w:p>
        </w:tc>
        <w:tc>
          <w:tcPr>
            <w:tcW w:w="7885" w:type="dxa"/>
            <w:tcBorders>
              <w:top w:val="single" w:sz="4" w:space="0" w:color="auto"/>
              <w:left w:val="single" w:sz="4" w:space="0" w:color="auto"/>
              <w:bottom w:val="single" w:sz="4" w:space="0" w:color="auto"/>
              <w:right w:val="single" w:sz="4" w:space="0" w:color="auto"/>
            </w:tcBorders>
          </w:tcPr>
          <w:p w14:paraId="6688BEBB" w14:textId="4C3416CB" w:rsidR="00C06ED9" w:rsidRDefault="00C06ED9" w:rsidP="00F930B4">
            <w:pPr>
              <w:pStyle w:val="Table2"/>
              <w:ind w:left="0" w:firstLine="0"/>
              <w:cnfStyle w:val="000000100000" w:firstRow="0" w:lastRow="0" w:firstColumn="0" w:lastColumn="0" w:oddVBand="0" w:evenVBand="0" w:oddHBand="1" w:evenHBand="0" w:firstRowFirstColumn="0" w:firstRowLastColumn="0" w:lastRowFirstColumn="0" w:lastRowLastColumn="0"/>
            </w:pPr>
            <w:r>
              <w:t>The conditions in Standards 1.2.7 and 1.2.8</w:t>
            </w:r>
            <w:r w:rsidR="00A852C4">
              <w:t xml:space="preserve"> </w:t>
            </w:r>
            <w:r w:rsidR="004D3026">
              <w:t>in the current Code</w:t>
            </w:r>
            <w:r w:rsidR="00A852C4">
              <w:t xml:space="preserve"> (Standard 1.2.7, Schedule 4, Standard 1.2.8 </w:t>
            </w:r>
            <w:r w:rsidR="00A852C4" w:rsidRPr="00E242F4">
              <w:t xml:space="preserve">and Schedule 13 </w:t>
            </w:r>
            <w:r w:rsidR="004D3026">
              <w:t>in the revised Code</w:t>
            </w:r>
            <w:r w:rsidR="00A852C4" w:rsidRPr="00E242F4">
              <w:t>)</w:t>
            </w:r>
            <w:r w:rsidRPr="00E242F4">
              <w:t xml:space="preserve"> apply generally to any ‘nutrition content claim’ (as defined</w:t>
            </w:r>
            <w:r w:rsidR="00935215" w:rsidRPr="00E242F4">
              <w:t xml:space="preserve"> in the Code</w:t>
            </w:r>
            <w:r w:rsidRPr="00E242F4">
              <w:t>) and FSANZ does not consider</w:t>
            </w:r>
            <w:r>
              <w:t xml:space="preserve"> it necessary to specifically identify in the Code which HSR elements those conditions apply to. The HSR Style Guide indicates when claim requirements in the Code must be met (section 2.5.2).</w:t>
            </w:r>
          </w:p>
          <w:p w14:paraId="02126DC8" w14:textId="11EAE2C6" w:rsidR="00C06ED9" w:rsidRPr="0069263B" w:rsidRDefault="00C06ED9" w:rsidP="00F930B4">
            <w:pPr>
              <w:pStyle w:val="Table2"/>
              <w:ind w:left="0" w:firstLine="0"/>
              <w:cnfStyle w:val="000000100000" w:firstRow="0" w:lastRow="0" w:firstColumn="0" w:lastColumn="0" w:oddVBand="0" w:evenVBand="0" w:oddHBand="1" w:evenHBand="0" w:firstRowFirstColumn="0" w:firstRowLastColumn="0" w:lastRowFirstColumn="0" w:lastRowLastColumn="0"/>
            </w:pPr>
            <w:r w:rsidRPr="00520E69">
              <w:rPr>
                <w:color w:val="FF0000"/>
              </w:rPr>
              <w:t xml:space="preserve"> </w:t>
            </w:r>
          </w:p>
        </w:tc>
      </w:tr>
    </w:tbl>
    <w:p w14:paraId="7F7E8831" w14:textId="77777777" w:rsidR="007C242D" w:rsidRDefault="007C242D" w:rsidP="00F63C2C">
      <w:pPr>
        <w:pStyle w:val="Heading2"/>
        <w:sectPr w:rsidR="007C242D" w:rsidSect="00A437B9">
          <w:footerReference w:type="default" r:id="rId19"/>
          <w:pgSz w:w="16840" w:h="11907" w:orient="landscape" w:code="9"/>
          <w:pgMar w:top="1418" w:right="1418" w:bottom="1418" w:left="1418" w:header="709" w:footer="709" w:gutter="0"/>
          <w:cols w:space="708"/>
          <w:docGrid w:linePitch="360"/>
        </w:sectPr>
      </w:pPr>
    </w:p>
    <w:p w14:paraId="2E3EA596" w14:textId="42F4E6C4" w:rsidR="002C1A3B" w:rsidRPr="00932F14" w:rsidRDefault="002C1A3B" w:rsidP="005B06CC">
      <w:pPr>
        <w:pStyle w:val="FSCh2Part"/>
      </w:pPr>
      <w:bookmarkStart w:id="61" w:name="_Toc428369904"/>
      <w:bookmarkStart w:id="62" w:name="_Toc428861604"/>
      <w:r>
        <w:lastRenderedPageBreak/>
        <w:t>2.3</w:t>
      </w:r>
      <w:r>
        <w:tab/>
        <w:t>Risk management</w:t>
      </w:r>
      <w:bookmarkEnd w:id="58"/>
      <w:bookmarkEnd w:id="59"/>
      <w:bookmarkEnd w:id="61"/>
      <w:bookmarkEnd w:id="62"/>
    </w:p>
    <w:p w14:paraId="5F5E1620" w14:textId="3E03B9C2" w:rsidR="007B7BDD" w:rsidRPr="001142C7" w:rsidRDefault="007B7BDD" w:rsidP="001142C7">
      <w:pPr>
        <w:pStyle w:val="Heading3"/>
      </w:pPr>
      <w:bookmarkStart w:id="63" w:name="_Toc420052984"/>
      <w:bookmarkStart w:id="64" w:name="_Toc428861605"/>
      <w:bookmarkStart w:id="65" w:name="_Toc309291814"/>
      <w:bookmarkStart w:id="66" w:name="_Toc370225389"/>
      <w:bookmarkStart w:id="67" w:name="_Toc286391012"/>
      <w:bookmarkEnd w:id="60"/>
      <w:r w:rsidRPr="001142C7">
        <w:t>2.3.1</w:t>
      </w:r>
      <w:r w:rsidRPr="001142C7">
        <w:tab/>
        <w:t>Nutrient declarations in nutrition information panel</w:t>
      </w:r>
      <w:bookmarkEnd w:id="63"/>
      <w:bookmarkEnd w:id="64"/>
      <w:r w:rsidRPr="001142C7">
        <w:t xml:space="preserve"> </w:t>
      </w:r>
    </w:p>
    <w:p w14:paraId="3783A138" w14:textId="3FE89C84" w:rsidR="007B7BDD" w:rsidRPr="00A021C0" w:rsidRDefault="007B7BDD" w:rsidP="007B7BDD">
      <w:r w:rsidRPr="00A021C0">
        <w:t xml:space="preserve">Schedule 1 of Standard 1.2.7 </w:t>
      </w:r>
      <w:r w:rsidR="004D3026">
        <w:t>in the current Code</w:t>
      </w:r>
      <w:r w:rsidR="00A021C0" w:rsidRPr="00A021C0">
        <w:t xml:space="preserve"> (</w:t>
      </w:r>
      <w:r w:rsidR="002B06D5" w:rsidRPr="00A021C0">
        <w:t xml:space="preserve">table to section </w:t>
      </w:r>
      <w:r w:rsidR="00DD773B" w:rsidRPr="00A021C0">
        <w:t>S4</w:t>
      </w:r>
      <w:r w:rsidR="00D0494A" w:rsidRPr="00A021C0">
        <w:t>—</w:t>
      </w:r>
      <w:r w:rsidR="007B1664" w:rsidRPr="00A021C0">
        <w:t>3</w:t>
      </w:r>
      <w:r w:rsidRPr="00A021C0">
        <w:t xml:space="preserve"> </w:t>
      </w:r>
      <w:r w:rsidR="004D3026">
        <w:t>in Schedule</w:t>
      </w:r>
      <w:r w:rsidR="00A748BF">
        <w:t xml:space="preserve"> 4 </w:t>
      </w:r>
      <w:r w:rsidR="004D3026">
        <w:t>in the revised Code</w:t>
      </w:r>
      <w:r w:rsidR="00A021C0" w:rsidRPr="00A021C0">
        <w:t>)</w:t>
      </w:r>
      <w:r w:rsidR="00DD773B" w:rsidRPr="00A021C0">
        <w:t xml:space="preserve"> </w:t>
      </w:r>
      <w:r w:rsidRPr="00A021C0">
        <w:t>provide</w:t>
      </w:r>
      <w:r w:rsidR="003D6DD3">
        <w:t>s</w:t>
      </w:r>
      <w:r w:rsidRPr="00A021C0">
        <w:t xml:space="preserve"> conditions for nutrition content claims about certain properties of food. For some claims, these conditions include a requirement to declare additional nutrients in the NIP if a nutrition content claim is made, as follows: </w:t>
      </w:r>
    </w:p>
    <w:p w14:paraId="4FCCA1C8" w14:textId="77777777" w:rsidR="007B7BDD" w:rsidRPr="00A021C0" w:rsidRDefault="007B7BDD" w:rsidP="007B7BDD"/>
    <w:p w14:paraId="78675796" w14:textId="77777777" w:rsidR="007B7BDD" w:rsidRPr="00A021C0" w:rsidRDefault="007B7BDD" w:rsidP="00683E18">
      <w:pPr>
        <w:pStyle w:val="FSBullet1"/>
      </w:pPr>
      <w:r w:rsidRPr="00A021C0">
        <w:t xml:space="preserve">For claims about lactose content, the </w:t>
      </w:r>
      <w:r w:rsidRPr="00A021C0">
        <w:rPr>
          <w:i/>
        </w:rPr>
        <w:t>lactose and galactose content</w:t>
      </w:r>
      <w:r w:rsidRPr="00A021C0">
        <w:t xml:space="preserve"> must be declared.</w:t>
      </w:r>
    </w:p>
    <w:p w14:paraId="2F97FED8" w14:textId="77777777" w:rsidR="007B7BDD" w:rsidRPr="00A021C0" w:rsidRDefault="007B7BDD" w:rsidP="007B7BDD">
      <w:pPr>
        <w:rPr>
          <w:rFonts w:cs="Arial"/>
        </w:rPr>
      </w:pPr>
    </w:p>
    <w:p w14:paraId="751866C7" w14:textId="77777777" w:rsidR="007B7BDD" w:rsidRPr="00A021C0" w:rsidRDefault="007B7BDD" w:rsidP="00683E18">
      <w:pPr>
        <w:pStyle w:val="FSBullet1"/>
      </w:pPr>
      <w:r w:rsidRPr="00A021C0">
        <w:t xml:space="preserve">For claims about salt or sodium, the </w:t>
      </w:r>
      <w:r w:rsidRPr="00A021C0">
        <w:rPr>
          <w:i/>
        </w:rPr>
        <w:t>potassium content</w:t>
      </w:r>
      <w:r w:rsidRPr="00A021C0">
        <w:t xml:space="preserve"> must be declared.</w:t>
      </w:r>
    </w:p>
    <w:p w14:paraId="442BD6FB" w14:textId="77777777" w:rsidR="007B7BDD" w:rsidRPr="00A021C0" w:rsidRDefault="007B7BDD" w:rsidP="007B7BDD">
      <w:pPr>
        <w:rPr>
          <w:rFonts w:cs="Arial"/>
        </w:rPr>
      </w:pPr>
    </w:p>
    <w:p w14:paraId="60E32A3B" w14:textId="1A288F40" w:rsidR="007B7BDD" w:rsidRPr="00A021C0" w:rsidRDefault="007B7BDD" w:rsidP="00683E18">
      <w:pPr>
        <w:pStyle w:val="FSBullet1"/>
      </w:pPr>
      <w:r w:rsidRPr="00A021C0">
        <w:t xml:space="preserve">For claims about omega-3 fatty acids, </w:t>
      </w:r>
      <w:r w:rsidRPr="00A021C0">
        <w:rPr>
          <w:i/>
        </w:rPr>
        <w:t>the type and amount</w:t>
      </w:r>
      <w:r w:rsidRPr="00A021C0">
        <w:t xml:space="preserve"> of omega-3 fatty acids (i.e. alpha-linolenic acid, docosahexaenoic acid, or eicosapentaenoic acid) must be declared. </w:t>
      </w:r>
    </w:p>
    <w:p w14:paraId="05D80B7A" w14:textId="77777777" w:rsidR="007B7BDD" w:rsidRPr="00A021C0" w:rsidRDefault="007B7BDD" w:rsidP="007B7BDD"/>
    <w:p w14:paraId="4C3D0C54" w14:textId="4E773191" w:rsidR="007B7BDD" w:rsidRPr="007B7BDD" w:rsidRDefault="00EB41DA" w:rsidP="007B7BDD">
      <w:r w:rsidRPr="00A021C0">
        <w:t xml:space="preserve">Schedule 1 of Standard 1.2.7 </w:t>
      </w:r>
      <w:r w:rsidR="004D3026">
        <w:t>in the current Code</w:t>
      </w:r>
      <w:r w:rsidRPr="00A021C0">
        <w:t xml:space="preserve"> (table to section S4—3 </w:t>
      </w:r>
      <w:r w:rsidR="004D3026">
        <w:t>in Schedule</w:t>
      </w:r>
      <w:r w:rsidR="00A748BF">
        <w:t xml:space="preserve"> 4 </w:t>
      </w:r>
      <w:r w:rsidR="004D3026">
        <w:t>in the revised Code</w:t>
      </w:r>
      <w:r w:rsidRPr="00A021C0">
        <w:t xml:space="preserve">) </w:t>
      </w:r>
      <w:r w:rsidR="007B7BDD" w:rsidRPr="00A021C0">
        <w:t>do</w:t>
      </w:r>
      <w:r>
        <w:t>es</w:t>
      </w:r>
      <w:r w:rsidR="007B7BDD" w:rsidRPr="00A021C0">
        <w:t xml:space="preserve"> not indicate how to declare these nutrients, for example, where in the NIP, in what format, or what quantity of food the amount of each substance should relate to, e.g. per serving, per 100 g. This is inconsistent with requirements for NIPs in Standard 1.2.8, whereby the format for presenting the required information is prescribed (subclauses 5(1) and 5(7)</w:t>
      </w:r>
      <w:r w:rsidR="007B1664" w:rsidRPr="00A021C0">
        <w:t xml:space="preserve"> </w:t>
      </w:r>
      <w:r w:rsidR="004D3026">
        <w:t>in the current Code</w:t>
      </w:r>
      <w:r w:rsidR="00A021C0" w:rsidRPr="00372F09">
        <w:t xml:space="preserve"> (</w:t>
      </w:r>
      <w:r w:rsidR="002B06D5" w:rsidRPr="00372F09">
        <w:t xml:space="preserve">sections </w:t>
      </w:r>
      <w:r w:rsidR="007B1664" w:rsidRPr="00372F09">
        <w:t>S12</w:t>
      </w:r>
      <w:r w:rsidR="00D0494A" w:rsidRPr="00372F09">
        <w:t>—2 and S12—</w:t>
      </w:r>
      <w:r w:rsidR="007B1664" w:rsidRPr="00372F09">
        <w:t xml:space="preserve">3 </w:t>
      </w:r>
      <w:r w:rsidR="004D3026">
        <w:t>in Schedule</w:t>
      </w:r>
      <w:r w:rsidR="00A748BF">
        <w:t xml:space="preserve"> 12 </w:t>
      </w:r>
      <w:r w:rsidR="004D3026">
        <w:t>in the revised Code</w:t>
      </w:r>
      <w:r w:rsidR="007B7BDD" w:rsidRPr="00372F09">
        <w:t>) and</w:t>
      </w:r>
      <w:r w:rsidR="007B7BDD" w:rsidRPr="007B7BDD">
        <w:t xml:space="preserve"> could result in inconsistent presentation of information in NIPs. For lactose and salt/sodium claims, before Standard 1.2.7 was gazetted, Standard 1.2.8 required the additional declarations to be ‘in accordance with subclause 5(1)’ of Standard 1.2.8 and therefore, in the prescribed format for a panel. </w:t>
      </w:r>
    </w:p>
    <w:p w14:paraId="5D0ED784" w14:textId="77777777" w:rsidR="007B7BDD" w:rsidRPr="007B7BDD" w:rsidRDefault="007B7BDD" w:rsidP="007B7BDD"/>
    <w:p w14:paraId="1D6EDD77" w14:textId="423FB891" w:rsidR="007B7BDD" w:rsidRPr="007B7BDD" w:rsidRDefault="00EB41DA" w:rsidP="007B7BDD">
      <w:r w:rsidRPr="00A021C0">
        <w:t xml:space="preserve">Schedule 1 of Standard 1.2.7 </w:t>
      </w:r>
      <w:r w:rsidR="004D3026">
        <w:t>in the current Code</w:t>
      </w:r>
      <w:r w:rsidRPr="00A021C0">
        <w:t xml:space="preserve"> (table to section S4—3 </w:t>
      </w:r>
      <w:r w:rsidR="004D3026">
        <w:t>in Schedule</w:t>
      </w:r>
      <w:r w:rsidR="00A748BF">
        <w:t xml:space="preserve"> 4 </w:t>
      </w:r>
      <w:r w:rsidR="004D3026">
        <w:t>in the revised Code</w:t>
      </w:r>
      <w:r w:rsidRPr="00A021C0">
        <w:t xml:space="preserve">) </w:t>
      </w:r>
      <w:r w:rsidR="007B7BDD" w:rsidRPr="007B7BDD">
        <w:t>require</w:t>
      </w:r>
      <w:r>
        <w:t>s</w:t>
      </w:r>
      <w:r w:rsidR="007B7BDD" w:rsidRPr="007B7BDD">
        <w:t xml:space="preserve"> the ‘content’ or ‘amount’ of the nutrients mentioned above to be declared in the NIP. However, for other nutrients (fat, protein </w:t>
      </w:r>
      <w:r w:rsidR="00E92942">
        <w:t>etc), the ‘average quantity’</w:t>
      </w:r>
      <w:r w:rsidR="007B7BDD" w:rsidRPr="007B7BDD">
        <w:t xml:space="preserve"> </w:t>
      </w:r>
      <w:r w:rsidR="00E92942">
        <w:t>must</w:t>
      </w:r>
      <w:r w:rsidR="007B7BDD" w:rsidRPr="007B7BDD">
        <w:t xml:space="preserve"> be declared. </w:t>
      </w:r>
      <w:r w:rsidR="007B1664">
        <w:t>The Code</w:t>
      </w:r>
      <w:r w:rsidR="007B7BDD" w:rsidRPr="007B7BDD">
        <w:t xml:space="preserve"> includes a definition of ‘average quantity’, which outlines the acceptable methods for determining the quantity of a substance. </w:t>
      </w:r>
    </w:p>
    <w:p w14:paraId="4132D108" w14:textId="77777777" w:rsidR="007B7BDD" w:rsidRPr="007B7BDD" w:rsidRDefault="007B7BDD" w:rsidP="007B7BDD">
      <w:pPr>
        <w:widowControl/>
      </w:pPr>
    </w:p>
    <w:p w14:paraId="2A1F1BF9" w14:textId="6D3A9022" w:rsidR="007B7BDD" w:rsidRPr="007B7BDD" w:rsidRDefault="007B7BDD" w:rsidP="007B7BDD">
      <w:r w:rsidRPr="007B7BDD">
        <w:t xml:space="preserve">To ensure that NIPs are presented in a consistent manner, galactose, potassium and the specified omega-3 fatty acids, </w:t>
      </w:r>
      <w:r w:rsidR="009279C4">
        <w:t>will be</w:t>
      </w:r>
      <w:r w:rsidRPr="007B7BDD">
        <w:t xml:space="preserve"> required to be declared in accordance with the prescribed format for NIPs (subclause 5(7)</w:t>
      </w:r>
      <w:r w:rsidR="007B1664">
        <w:t xml:space="preserve"> </w:t>
      </w:r>
      <w:r w:rsidR="004D3026">
        <w:t>in the current Code</w:t>
      </w:r>
      <w:r w:rsidR="007B1664">
        <w:t xml:space="preserve"> and </w:t>
      </w:r>
      <w:r w:rsidR="00354F1D">
        <w:t xml:space="preserve">section </w:t>
      </w:r>
      <w:r w:rsidR="007B1664">
        <w:t>S12</w:t>
      </w:r>
      <w:r w:rsidR="00D0494A" w:rsidRPr="00D80068">
        <w:t>—</w:t>
      </w:r>
      <w:r w:rsidR="007B1664">
        <w:t xml:space="preserve">3 </w:t>
      </w:r>
      <w:r w:rsidR="004D3026">
        <w:t>in Schedule</w:t>
      </w:r>
      <w:r w:rsidR="00A748BF">
        <w:t xml:space="preserve"> 12 </w:t>
      </w:r>
      <w:r w:rsidR="004D3026">
        <w:t>in the revised Code</w:t>
      </w:r>
      <w:r w:rsidRPr="007B7BDD">
        <w:t xml:space="preserve">). In addition, the ‘average quantity’ should be declared. This will ensure that the requirements are consistent with the requirements for other prescribed nutrition information. </w:t>
      </w:r>
    </w:p>
    <w:p w14:paraId="0680EA50" w14:textId="77777777" w:rsidR="007B7BDD" w:rsidRPr="007B7BDD" w:rsidRDefault="007B7BDD" w:rsidP="007B7BDD"/>
    <w:p w14:paraId="1AA9C426" w14:textId="0F9E409D" w:rsidR="007B7BDD" w:rsidRPr="007B7BDD" w:rsidRDefault="007B7BDD" w:rsidP="007B7BDD">
      <w:r>
        <w:t>R</w:t>
      </w:r>
      <w:r w:rsidRPr="007B7BDD">
        <w:t xml:space="preserve">equirements for nutrient declarations in the NIP in </w:t>
      </w:r>
      <w:r w:rsidR="007B1664" w:rsidRPr="007B1664">
        <w:t>Schedule 1 of Standar</w:t>
      </w:r>
      <w:r w:rsidR="00534C41">
        <w:t xml:space="preserve">d 1.2.7 </w:t>
      </w:r>
      <w:r w:rsidR="004D3026">
        <w:t>in the current Code</w:t>
      </w:r>
      <w:r w:rsidR="00534C41">
        <w:t xml:space="preserve"> (</w:t>
      </w:r>
      <w:r w:rsidR="00354F1D">
        <w:t xml:space="preserve">section </w:t>
      </w:r>
      <w:r w:rsidR="007B1664" w:rsidRPr="007B1664">
        <w:t>S4</w:t>
      </w:r>
      <w:r w:rsidR="00D0494A" w:rsidRPr="00D80068">
        <w:t>—</w:t>
      </w:r>
      <w:r w:rsidR="007B1664" w:rsidRPr="007B1664">
        <w:t xml:space="preserve">2 </w:t>
      </w:r>
      <w:r w:rsidR="004D3026">
        <w:t>in Schedule</w:t>
      </w:r>
      <w:r w:rsidR="00534C41">
        <w:t xml:space="preserve"> 4 </w:t>
      </w:r>
      <w:r w:rsidR="004D3026">
        <w:t>in the revised Code</w:t>
      </w:r>
      <w:r w:rsidR="00534C41">
        <w:t>)</w:t>
      </w:r>
      <w:r w:rsidR="007B1664" w:rsidRPr="007B1664">
        <w:t xml:space="preserve"> </w:t>
      </w:r>
      <w:r w:rsidRPr="007B7BDD">
        <w:t>are more appropriately located in Standard 1.2.8, where other requirements for nutrition information are located. This would also clarify that the additional nutrient declarations (galactose etc) are to be declared when either nutrition content claims or health claims about the relevant property, are made.</w:t>
      </w:r>
      <w:r w:rsidR="003D609A">
        <w:t xml:space="preserve"> A note has been added to Standard 1.2.7</w:t>
      </w:r>
      <w:r w:rsidR="00534C41">
        <w:t xml:space="preserve"> in both the current and revised Codes</w:t>
      </w:r>
      <w:r w:rsidR="003D609A">
        <w:t xml:space="preserve"> to indicate </w:t>
      </w:r>
      <w:r w:rsidR="005B03EE">
        <w:t xml:space="preserve">to users </w:t>
      </w:r>
      <w:r w:rsidR="003D609A">
        <w:t>that there may be addition</w:t>
      </w:r>
      <w:r w:rsidR="003D609A" w:rsidRPr="003D609A">
        <w:t xml:space="preserve">al labelling requirements </w:t>
      </w:r>
      <w:r w:rsidR="003D609A">
        <w:t xml:space="preserve">in Standard 1.2.8 </w:t>
      </w:r>
      <w:r w:rsidR="003D609A" w:rsidRPr="003D609A">
        <w:t xml:space="preserve">for claims regulated </w:t>
      </w:r>
      <w:r w:rsidR="00C923DF">
        <w:t xml:space="preserve">in </w:t>
      </w:r>
      <w:r w:rsidR="003D609A">
        <w:t xml:space="preserve">Standard 1.2.7. </w:t>
      </w:r>
    </w:p>
    <w:p w14:paraId="7DD6AB69" w14:textId="77777777" w:rsidR="007B7BDD" w:rsidRPr="007B7BDD" w:rsidRDefault="007B7BDD" w:rsidP="007B7BDD"/>
    <w:p w14:paraId="2F7AD188" w14:textId="355598C0" w:rsidR="00F63C2C" w:rsidRDefault="007B7BDD" w:rsidP="007B7BDD">
      <w:r w:rsidRPr="007B7BDD">
        <w:t xml:space="preserve">The requirement to declare lactose when a claim about lactose is made (as currently required in Schedule 1 of Standard 1.2.7 </w:t>
      </w:r>
      <w:r w:rsidR="004D3026">
        <w:t>in the current Code</w:t>
      </w:r>
      <w:r w:rsidR="000A2D3F">
        <w:t xml:space="preserve"> (</w:t>
      </w:r>
      <w:r w:rsidR="00354F1D">
        <w:t xml:space="preserve">section </w:t>
      </w:r>
      <w:r w:rsidR="00D0494A">
        <w:t>S4</w:t>
      </w:r>
      <w:r w:rsidR="00D0494A" w:rsidRPr="00D80068">
        <w:t>—</w:t>
      </w:r>
      <w:r w:rsidR="007B1664">
        <w:t xml:space="preserve">3 </w:t>
      </w:r>
      <w:r w:rsidR="004D3026">
        <w:t>in Schedule</w:t>
      </w:r>
      <w:r w:rsidR="00534C41">
        <w:t xml:space="preserve"> 4 </w:t>
      </w:r>
      <w:r w:rsidR="004D3026">
        <w:t>in the revised Code</w:t>
      </w:r>
      <w:r w:rsidR="00EB41DA">
        <w:t>)</w:t>
      </w:r>
      <w:r w:rsidRPr="007B7BDD">
        <w:t xml:space="preserve"> is also required by paragraph 5(1)(g)) of Standard 1.2.8 </w:t>
      </w:r>
      <w:r w:rsidR="004D3026">
        <w:t>in the current Code</w:t>
      </w:r>
      <w:r w:rsidRPr="007B7BDD">
        <w:t xml:space="preserve"> </w:t>
      </w:r>
      <w:r w:rsidR="000A2D3F">
        <w:t>(</w:t>
      </w:r>
      <w:r w:rsidR="007B1664">
        <w:t>subpa</w:t>
      </w:r>
      <w:r w:rsidR="00D0494A">
        <w:t>ragraph 1.2.8</w:t>
      </w:r>
      <w:r w:rsidR="00D0494A" w:rsidRPr="00D80068">
        <w:t>—</w:t>
      </w:r>
      <w:r w:rsidR="007B1664">
        <w:t xml:space="preserve">6(1)(d)(iv) </w:t>
      </w:r>
      <w:r w:rsidR="004D3026">
        <w:t>in the revised Code</w:t>
      </w:r>
      <w:r w:rsidR="000A2D3F">
        <w:t>)</w:t>
      </w:r>
      <w:r w:rsidR="007B1664">
        <w:t xml:space="preserve"> </w:t>
      </w:r>
      <w:r w:rsidRPr="007B7BDD">
        <w:t>and therefore will not be repeated elsewhere</w:t>
      </w:r>
      <w:r w:rsidR="007B1664">
        <w:t xml:space="preserve">. </w:t>
      </w:r>
      <w:r w:rsidRPr="007B7BDD">
        <w:t xml:space="preserve"> </w:t>
      </w:r>
      <w:r w:rsidR="00F63C2C">
        <w:br w:type="page"/>
      </w:r>
    </w:p>
    <w:p w14:paraId="114BD3B7" w14:textId="3CE5E755" w:rsidR="00E16135" w:rsidRPr="007B7BDD" w:rsidRDefault="00E16135" w:rsidP="007B7BDD">
      <w:r>
        <w:rPr>
          <w:lang w:eastAsia="en-AU" w:bidi="ar-SA"/>
        </w:rPr>
        <w:lastRenderedPageBreak/>
        <w:t xml:space="preserve">A transition period and </w:t>
      </w:r>
      <w:r w:rsidR="00F150B5">
        <w:t xml:space="preserve">stock-in-trade </w:t>
      </w:r>
      <w:r w:rsidR="005F33F9">
        <w:rPr>
          <w:lang w:eastAsia="en-AU" w:bidi="ar-SA"/>
        </w:rPr>
        <w:t>exemption</w:t>
      </w:r>
      <w:r>
        <w:rPr>
          <w:lang w:eastAsia="en-AU" w:bidi="ar-SA"/>
        </w:rPr>
        <w:t xml:space="preserve"> will be provided </w:t>
      </w:r>
      <w:r w:rsidR="005F33F9">
        <w:rPr>
          <w:lang w:eastAsia="en-AU" w:bidi="ar-SA"/>
        </w:rPr>
        <w:t xml:space="preserve">for the amendments </w:t>
      </w:r>
      <w:r>
        <w:rPr>
          <w:lang w:eastAsia="en-AU" w:bidi="ar-SA"/>
        </w:rPr>
        <w:t xml:space="preserve">due to concerns that some food </w:t>
      </w:r>
      <w:r w:rsidR="00F150B5">
        <w:rPr>
          <w:lang w:eastAsia="en-AU" w:bidi="ar-SA"/>
        </w:rPr>
        <w:t>label changes may be required. R</w:t>
      </w:r>
      <w:r>
        <w:rPr>
          <w:lang w:eastAsia="en-AU" w:bidi="ar-SA"/>
        </w:rPr>
        <w:t xml:space="preserve">efer to section 3 for further information.   </w:t>
      </w:r>
    </w:p>
    <w:p w14:paraId="15C527F3" w14:textId="2C07B924" w:rsidR="007B7BDD" w:rsidRPr="007B7BDD" w:rsidRDefault="007B7BDD" w:rsidP="001142C7">
      <w:pPr>
        <w:pStyle w:val="Heading3"/>
      </w:pPr>
      <w:bookmarkStart w:id="68" w:name="_Toc420052985"/>
      <w:bookmarkStart w:id="69" w:name="_Toc428861606"/>
      <w:r w:rsidRPr="007B7BDD">
        <w:t>2.</w:t>
      </w:r>
      <w:r>
        <w:t>3</w:t>
      </w:r>
      <w:r w:rsidRPr="007B7BDD">
        <w:t>.2</w:t>
      </w:r>
      <w:r w:rsidRPr="007B7BDD">
        <w:tab/>
        <w:t>Quantity of nutrients used in the nutrient profiling scoring method</w:t>
      </w:r>
      <w:bookmarkEnd w:id="68"/>
      <w:bookmarkEnd w:id="69"/>
    </w:p>
    <w:p w14:paraId="479A4B13" w14:textId="72ACA733" w:rsidR="007B7BDD" w:rsidRPr="007B7BDD" w:rsidRDefault="007B7BDD" w:rsidP="007B7BDD">
      <w:r w:rsidRPr="007B7BDD">
        <w:t xml:space="preserve">The method for determining the score of a food for the nutrient profiling scoring criterion (NPSC) is set out in Schedule 5 (Nutrient profiling scoring method) of Standard 1.2.7 </w:t>
      </w:r>
      <w:r w:rsidR="004D3026">
        <w:t>in the current Code</w:t>
      </w:r>
      <w:r w:rsidR="000205A3">
        <w:t xml:space="preserve"> (Schedule 5 </w:t>
      </w:r>
      <w:r w:rsidR="004D3026">
        <w:t>in the revised Code</w:t>
      </w:r>
      <w:r w:rsidR="000205A3">
        <w:t>)</w:t>
      </w:r>
      <w:r w:rsidRPr="007B7BDD">
        <w:t>. The method takes into account the energy, saturated fat, sodium and sugar content of a food along with certain ingredients such as fruit and vegetables, and in some instances, dietary fibre and protein content. During development of the NPSC, it was intended that the score for a food could be determined using the information declared on its label, including the information in the NIP. However the requirements in Schedule 5</w:t>
      </w:r>
      <w:r w:rsidR="00C97BB1">
        <w:t xml:space="preserve"> of Standard 1.2.7 in the current Code (Schedule 5 </w:t>
      </w:r>
      <w:r w:rsidR="004D3026">
        <w:t>in the revised Code</w:t>
      </w:r>
      <w:r w:rsidR="00C97BB1">
        <w:t>)</w:t>
      </w:r>
      <w:r w:rsidRPr="007B7BDD">
        <w:t xml:space="preserve"> do not clearly achieve this. For example, for protein and dietary fibre, the ‘average’ per 100 g or 100 mL of food is required, rather than the ‘average quantity’ (as required to be declared in the NIP) and it is not specified that the amount is to be based on per 100 g or mL of the food, depending on the units used in the NIP. Likewise, ‘average sodium’ is referred to in items 2 and 3 </w:t>
      </w:r>
      <w:r w:rsidR="004D3026">
        <w:t>in Schedule</w:t>
      </w:r>
      <w:r w:rsidRPr="007B7BDD">
        <w:t xml:space="preserve"> 5 rather than ‘average quantity’ of sodium’. </w:t>
      </w:r>
    </w:p>
    <w:p w14:paraId="053F01C8" w14:textId="77777777" w:rsidR="007B7BDD" w:rsidRPr="007B7BDD" w:rsidRDefault="007B7BDD" w:rsidP="007B7BDD"/>
    <w:p w14:paraId="5D33FC05" w14:textId="13AF3D29" w:rsidR="007B7BDD" w:rsidRPr="007B7BDD" w:rsidRDefault="00173D10" w:rsidP="007B7BDD">
      <w:r>
        <w:t>T</w:t>
      </w:r>
      <w:r w:rsidR="007B7BDD" w:rsidRPr="007B7BDD">
        <w:t>he nutrient profiling scoring method in Schedule 5</w:t>
      </w:r>
      <w:r w:rsidR="003C28BB">
        <w:t xml:space="preserve"> of Standard 1.2.7 </w:t>
      </w:r>
      <w:r w:rsidR="004D3026">
        <w:t>in the current Code</w:t>
      </w:r>
      <w:r w:rsidR="003C28BB">
        <w:t xml:space="preserve"> (Schedule 5 </w:t>
      </w:r>
      <w:r w:rsidR="004D3026">
        <w:t>in the revised Code</w:t>
      </w:r>
      <w:r w:rsidR="003C28BB">
        <w:t xml:space="preserve">) </w:t>
      </w:r>
      <w:r>
        <w:t>will be</w:t>
      </w:r>
      <w:r w:rsidR="007B7BDD" w:rsidRPr="007B7BDD">
        <w:t xml:space="preserve"> amended to add that the ‘average quantity’ (rather than ‘quantity’) of nutrients is used and that the average quantity of protein and dietary fibre is to be based on per 100 g or mL of the food, depending</w:t>
      </w:r>
      <w:r w:rsidR="00016B73">
        <w:t xml:space="preserve"> on the units used in the NIP. </w:t>
      </w:r>
      <w:r w:rsidR="007B7BDD" w:rsidRPr="007B7BDD">
        <w:t xml:space="preserve">The reference to ‘total’ preceding sugars in Schedule 5 </w:t>
      </w:r>
      <w:r w:rsidR="003C28BB">
        <w:t xml:space="preserve">of Standard 1.2.7 </w:t>
      </w:r>
      <w:r w:rsidR="004D3026">
        <w:t>in the current Code</w:t>
      </w:r>
      <w:r w:rsidR="003C28BB">
        <w:t xml:space="preserve"> (Schedule 5 </w:t>
      </w:r>
      <w:r w:rsidR="004D3026">
        <w:t>in the revised Code</w:t>
      </w:r>
      <w:r w:rsidR="003C28BB">
        <w:t xml:space="preserve">) </w:t>
      </w:r>
      <w:r w:rsidR="007B7BDD" w:rsidRPr="007B7BDD">
        <w:t xml:space="preserve">is unnecessary, as the definition of ‘sugars’ captures monosaccharides and disaccharides.  </w:t>
      </w:r>
    </w:p>
    <w:p w14:paraId="2E5825A8" w14:textId="77777777" w:rsidR="007B7BDD" w:rsidRPr="007B7BDD" w:rsidRDefault="007B7BDD" w:rsidP="007B7BDD"/>
    <w:p w14:paraId="06A96FB5" w14:textId="49DF8CC3" w:rsidR="007B7BDD" w:rsidRPr="007B7BDD" w:rsidRDefault="00E92942" w:rsidP="007B7BDD">
      <w:r w:rsidRPr="009D3F75">
        <w:t>These amendments</w:t>
      </w:r>
      <w:r w:rsidR="007B7BDD" w:rsidRPr="009D3F75">
        <w:t xml:space="preserve"> will clarify that the quantity of energy and nutrients used in the nutrient profiling scoring method must be consistent with that declared in the NIP</w:t>
      </w:r>
      <w:r w:rsidRPr="009D3F75">
        <w:t>.</w:t>
      </w:r>
      <w:r w:rsidR="007B7BDD" w:rsidRPr="009D3F75">
        <w:t xml:space="preserve"> </w:t>
      </w:r>
      <w:r w:rsidRPr="009D3F75">
        <w:t>The</w:t>
      </w:r>
      <w:r w:rsidR="007B7BDD" w:rsidRPr="009D3F75">
        <w:t xml:space="preserve"> </w:t>
      </w:r>
      <w:r w:rsidR="009D3F75" w:rsidRPr="009D3F75">
        <w:t>nutrient profiling score</w:t>
      </w:r>
      <w:r w:rsidR="009D3F75" w:rsidRPr="009D3F75">
        <w:rPr>
          <w:lang w:val="en-NZ"/>
        </w:rPr>
        <w:t xml:space="preserve"> </w:t>
      </w:r>
      <w:r w:rsidR="007B7BDD" w:rsidRPr="009D3F75">
        <w:t>can</w:t>
      </w:r>
      <w:r w:rsidR="007B7BDD" w:rsidRPr="007B7BDD">
        <w:t xml:space="preserve"> therefore be determined using the information declared on the label of the food, as was intended. </w:t>
      </w:r>
    </w:p>
    <w:p w14:paraId="2D2F25C8" w14:textId="77777777" w:rsidR="007B7BDD" w:rsidRPr="007B7BDD" w:rsidRDefault="007B7BDD" w:rsidP="007B7BDD"/>
    <w:p w14:paraId="04C937E3" w14:textId="0B78C735" w:rsidR="007B7BDD" w:rsidRDefault="007B7BDD" w:rsidP="007B7BDD">
      <w:r w:rsidRPr="007B7BDD">
        <w:t xml:space="preserve">In addition, subitems 4(6) and 4(8) </w:t>
      </w:r>
      <w:r w:rsidR="004D3026">
        <w:t>in Schedule</w:t>
      </w:r>
      <w:r w:rsidRPr="007B7BDD">
        <w:t xml:space="preserve"> 5</w:t>
      </w:r>
      <w:r w:rsidR="003C28BB">
        <w:t xml:space="preserve"> of Standard 1.2.7 </w:t>
      </w:r>
      <w:r w:rsidR="004D3026">
        <w:t>in the current Code</w:t>
      </w:r>
      <w:r w:rsidR="003C28BB">
        <w:t xml:space="preserve"> (subsections S5—4</w:t>
      </w:r>
      <w:r w:rsidR="002456FA">
        <w:t xml:space="preserve">(6) and (8) </w:t>
      </w:r>
      <w:r w:rsidR="004D3026">
        <w:t>in Schedule</w:t>
      </w:r>
      <w:r w:rsidR="003C28BB">
        <w:t xml:space="preserve"> 5 </w:t>
      </w:r>
      <w:r w:rsidR="004D3026">
        <w:t>in the revised Code</w:t>
      </w:r>
      <w:r w:rsidR="003C28BB">
        <w:t xml:space="preserve">) </w:t>
      </w:r>
      <w:r w:rsidRPr="007B7BDD">
        <w:t xml:space="preserve">refer to ‘fvnl sources’. The word ‘sources’ is unnecessary and will be deleted.   </w:t>
      </w:r>
    </w:p>
    <w:p w14:paraId="2650B74C" w14:textId="77777777" w:rsidR="00E16135" w:rsidRDefault="00E16135" w:rsidP="007B7BDD"/>
    <w:p w14:paraId="019499BB" w14:textId="5F9C86B3" w:rsidR="00E16135" w:rsidRPr="007B7BDD" w:rsidRDefault="00E16135" w:rsidP="007B7BDD">
      <w:r w:rsidRPr="00E16135">
        <w:t>Submitters were generally supportive of these amendments</w:t>
      </w:r>
      <w:r>
        <w:t>,</w:t>
      </w:r>
      <w:r w:rsidRPr="00E16135">
        <w:t xml:space="preserve"> however a transition period and </w:t>
      </w:r>
      <w:r w:rsidR="00F150B5">
        <w:t xml:space="preserve">stock-in-trade </w:t>
      </w:r>
      <w:r w:rsidR="004456A2">
        <w:t>exemption</w:t>
      </w:r>
      <w:r w:rsidRPr="00E16135">
        <w:t xml:space="preserve"> will be provided due to concerns that some food label changes may be required</w:t>
      </w:r>
      <w:r w:rsidR="00F150B5">
        <w:t>. R</w:t>
      </w:r>
      <w:r w:rsidRPr="00E16135">
        <w:t xml:space="preserve">efer to section 3 for further information.   </w:t>
      </w:r>
    </w:p>
    <w:p w14:paraId="3671A4DB" w14:textId="6E62A150" w:rsidR="007B7BDD" w:rsidRPr="007B7BDD" w:rsidRDefault="007B7BDD" w:rsidP="001142C7">
      <w:pPr>
        <w:pStyle w:val="Heading3"/>
      </w:pPr>
      <w:bookmarkStart w:id="70" w:name="_Toc420052986"/>
      <w:bookmarkStart w:id="71" w:name="_Toc428861607"/>
      <w:r w:rsidRPr="007B7BDD">
        <w:t>2.</w:t>
      </w:r>
      <w:r>
        <w:t>3</w:t>
      </w:r>
      <w:r w:rsidRPr="007B7BDD">
        <w:t>.3</w:t>
      </w:r>
      <w:r w:rsidRPr="007B7BDD">
        <w:tab/>
        <w:t>Percentage daily intake declarations</w:t>
      </w:r>
      <w:bookmarkEnd w:id="70"/>
      <w:bookmarkEnd w:id="71"/>
    </w:p>
    <w:p w14:paraId="4E53475C" w14:textId="4929D627" w:rsidR="00AF44C0" w:rsidRDefault="007B7BDD" w:rsidP="007B7BDD">
      <w:r w:rsidRPr="007B7BDD">
        <w:t>There are conditions in Standard 1.2.8</w:t>
      </w:r>
      <w:r w:rsidR="00DD048B">
        <w:t xml:space="preserve"> of both the current and revised Codes</w:t>
      </w:r>
      <w:r w:rsidRPr="007B7BDD">
        <w:t xml:space="preserve"> for voluntary percentage daily intake (%DI) labelling. Percentage DI information presented in the NIP can also be presented on the food label outside the NIP, if certain conditions are met. </w:t>
      </w:r>
    </w:p>
    <w:p w14:paraId="418E68F4" w14:textId="77777777" w:rsidR="00AF44C0" w:rsidRDefault="00AF44C0" w:rsidP="007B7BDD"/>
    <w:p w14:paraId="1BB42A10" w14:textId="147BBA5F" w:rsidR="00AF44C0" w:rsidRDefault="00AF44C0" w:rsidP="008E0C66">
      <w:pPr>
        <w:autoSpaceDE w:val="0"/>
      </w:pPr>
      <w:r>
        <w:t>The intended approach</w:t>
      </w:r>
      <w:r w:rsidRPr="00AF44C0">
        <w:t xml:space="preserve"> </w:t>
      </w:r>
      <w:r>
        <w:t>for %DI labelling was d</w:t>
      </w:r>
      <w:r w:rsidRPr="00AF44C0">
        <w:t xml:space="preserve">etermined under Proposal P293 </w:t>
      </w:r>
      <w:r>
        <w:t>and was as follows</w:t>
      </w:r>
      <w:r w:rsidR="00143DBA">
        <w:rPr>
          <w:rFonts w:ascii="ZWAdobeF" w:hAnsi="ZWAdobeF" w:cs="ZWAdobeF"/>
          <w:sz w:val="2"/>
          <w:szCs w:val="2"/>
        </w:rPr>
        <w:t>6F</w:t>
      </w:r>
      <w:r w:rsidR="008E0C66">
        <w:rPr>
          <w:rFonts w:ascii="ZWAdobeF" w:hAnsi="ZWAdobeF" w:cs="ZWAdobeF"/>
          <w:sz w:val="2"/>
          <w:szCs w:val="2"/>
        </w:rPr>
        <w:t>6F</w:t>
      </w:r>
      <w:r w:rsidR="00CA2FB2">
        <w:rPr>
          <w:rStyle w:val="FootnoteReference"/>
        </w:rPr>
        <w:footnoteReference w:id="8"/>
      </w:r>
      <w:r>
        <w:t xml:space="preserve">: </w:t>
      </w:r>
    </w:p>
    <w:p w14:paraId="4ACEA8DE" w14:textId="4F9E5A4C" w:rsidR="00F63C2C" w:rsidRDefault="00F63C2C" w:rsidP="00AF44C0">
      <w:r>
        <w:br w:type="page"/>
      </w:r>
    </w:p>
    <w:p w14:paraId="5F97FB8D" w14:textId="37600DD8" w:rsidR="00AF44C0" w:rsidRDefault="00AF44C0" w:rsidP="009279C4">
      <w:pPr>
        <w:pStyle w:val="FSBullet1"/>
      </w:pPr>
      <w:r>
        <w:lastRenderedPageBreak/>
        <w:t>Continu</w:t>
      </w:r>
      <w:r w:rsidR="00E92942">
        <w:t>e to allow voluntary %DI</w:t>
      </w:r>
      <w:r>
        <w:t xml:space="preserve"> labelling in the </w:t>
      </w:r>
      <w:r w:rsidR="00034B42">
        <w:t>NIP</w:t>
      </w:r>
      <w:r>
        <w:t xml:space="preserve"> with the additional permission of the abbreviated ‘8700 kJ’</w:t>
      </w:r>
      <w:r w:rsidR="0075266D">
        <w:t xml:space="preserve"> </w:t>
      </w:r>
      <w:r>
        <w:t>statements:</w:t>
      </w:r>
    </w:p>
    <w:p w14:paraId="1F237431" w14:textId="77777777" w:rsidR="00354F1D" w:rsidRDefault="00354F1D" w:rsidP="00CA2FB2">
      <w:pPr>
        <w:ind w:firstLine="567"/>
      </w:pPr>
    </w:p>
    <w:p w14:paraId="649A2E1B" w14:textId="0753D8B7" w:rsidR="00AF44C0" w:rsidRDefault="00AF44C0" w:rsidP="00AF44C0">
      <w:pPr>
        <w:pStyle w:val="FSBullet2"/>
      </w:pPr>
      <w:r>
        <w:t>‘based on an average adult diet of 8700 kJ’; or</w:t>
      </w:r>
    </w:p>
    <w:p w14:paraId="09E7B281" w14:textId="36AD97CF" w:rsidR="00AF44C0" w:rsidRDefault="00AF44C0" w:rsidP="00AF44C0">
      <w:pPr>
        <w:pStyle w:val="FSBullet2"/>
      </w:pPr>
      <w:r>
        <w:t>‘Percentage daily intakes are based on an average adult diet of 8700 kJ’.</w:t>
      </w:r>
    </w:p>
    <w:p w14:paraId="0F537767" w14:textId="77777777" w:rsidR="00CA2FB2" w:rsidRDefault="00CA2FB2" w:rsidP="00CA2FB2">
      <w:pPr>
        <w:pStyle w:val="FSBullet2"/>
        <w:numPr>
          <w:ilvl w:val="0"/>
          <w:numId w:val="0"/>
        </w:numPr>
        <w:ind w:left="567"/>
      </w:pPr>
    </w:p>
    <w:p w14:paraId="51BEAC26" w14:textId="1D521403" w:rsidR="00AF44C0" w:rsidRDefault="00AF44C0" w:rsidP="00AF44C0">
      <w:pPr>
        <w:pStyle w:val="FSBullet1"/>
      </w:pPr>
      <w:r>
        <w:t xml:space="preserve">Permit %DI labelling information for energy alone or together with protein, fat, saturated fatty acids, carbohydrate, sugars and sodium outside the </w:t>
      </w:r>
      <w:r w:rsidR="00B66DA5">
        <w:t>NIP</w:t>
      </w:r>
      <w:r>
        <w:t>, all in one place with serving size information (without the information being considered a claim)</w:t>
      </w:r>
      <w:r w:rsidR="00B678AD">
        <w:t>,</w:t>
      </w:r>
      <w:r>
        <w:t xml:space="preserve"> provided %DI information for energy and the prescribed nutrients are all presented in the </w:t>
      </w:r>
      <w:r w:rsidR="00317200">
        <w:t>NIP</w:t>
      </w:r>
      <w:r>
        <w:t>.</w:t>
      </w:r>
    </w:p>
    <w:p w14:paraId="10185F3F" w14:textId="77777777" w:rsidR="00CA2FB2" w:rsidRPr="00CA2FB2" w:rsidRDefault="00CA2FB2" w:rsidP="00CA2FB2">
      <w:pPr>
        <w:rPr>
          <w:lang w:bidi="ar-SA"/>
        </w:rPr>
      </w:pPr>
    </w:p>
    <w:p w14:paraId="242081BC" w14:textId="2ED6D058" w:rsidR="00AF44C0" w:rsidRDefault="00AF44C0" w:rsidP="00AF44C0">
      <w:pPr>
        <w:pStyle w:val="FSBullet1"/>
      </w:pPr>
      <w:r>
        <w:t xml:space="preserve">Require the declaration of the percentage of the Recommended Dietary Intake (%RDI) in the </w:t>
      </w:r>
      <w:r w:rsidR="00317200">
        <w:t>N</w:t>
      </w:r>
      <w:r w:rsidR="00B66DA5">
        <w:t>IP</w:t>
      </w:r>
      <w:r>
        <w:t xml:space="preserve"> (for those nutrients for which there is a RDI specified in the Code) when nutrition content or health claims are made in relation to the presence of vitamins and minerals.</w:t>
      </w:r>
    </w:p>
    <w:p w14:paraId="120AA98A" w14:textId="77777777" w:rsidR="00CA2FB2" w:rsidRPr="00CA2FB2" w:rsidRDefault="00CA2FB2" w:rsidP="00CA2FB2">
      <w:pPr>
        <w:rPr>
          <w:lang w:bidi="ar-SA"/>
        </w:rPr>
      </w:pPr>
    </w:p>
    <w:p w14:paraId="390CC8EA" w14:textId="4F1A3D21" w:rsidR="00AF44C0" w:rsidRDefault="00AF44C0" w:rsidP="00AF44C0">
      <w:pPr>
        <w:pStyle w:val="FSBullet1"/>
      </w:pPr>
      <w:r>
        <w:t xml:space="preserve">Permit %RDI labelling outside the </w:t>
      </w:r>
      <w:r w:rsidR="00B66DA5">
        <w:t>NIP</w:t>
      </w:r>
      <w:r>
        <w:t xml:space="preserve"> together with serving</w:t>
      </w:r>
      <w:r w:rsidR="00CA2FB2">
        <w:t xml:space="preserve"> </w:t>
      </w:r>
      <w:r>
        <w:t>size information, without the information being considered a claim.</w:t>
      </w:r>
    </w:p>
    <w:p w14:paraId="0A810654" w14:textId="77777777" w:rsidR="00AF44C0" w:rsidRDefault="00AF44C0" w:rsidP="007B7BDD"/>
    <w:p w14:paraId="2DEE88B7" w14:textId="7AFFF400" w:rsidR="00AF44C0" w:rsidRPr="00372F09" w:rsidRDefault="001B15AA" w:rsidP="007B7BDD">
      <w:r w:rsidRPr="00372F09">
        <w:t>T</w:t>
      </w:r>
      <w:r w:rsidR="00CA2FB2" w:rsidRPr="00372F09">
        <w:t xml:space="preserve">he proposed variation </w:t>
      </w:r>
      <w:r w:rsidR="00A54B26" w:rsidRPr="00372F09">
        <w:t>sought</w:t>
      </w:r>
      <w:r w:rsidRPr="00372F09">
        <w:t xml:space="preserve"> </w:t>
      </w:r>
      <w:r w:rsidR="00CA2FB2" w:rsidRPr="00372F09">
        <w:t xml:space="preserve">to clarify that: </w:t>
      </w:r>
    </w:p>
    <w:p w14:paraId="39A502F0" w14:textId="77777777" w:rsidR="00CA2FB2" w:rsidRPr="00372F09" w:rsidRDefault="00CA2FB2" w:rsidP="007B7BDD"/>
    <w:p w14:paraId="40CE3189" w14:textId="414421B8" w:rsidR="007B7BDD" w:rsidRPr="00372F09" w:rsidRDefault="00CA2FB2" w:rsidP="00CA2FB2">
      <w:pPr>
        <w:pStyle w:val="FSBullet1"/>
      </w:pPr>
      <w:r w:rsidRPr="00372F09">
        <w:t>As a</w:t>
      </w:r>
      <w:r w:rsidR="007B7BDD" w:rsidRPr="00372F09">
        <w:t>n alternative to declaring the %DI of energy, protein, fat, saturated fatty acids, carbohydrate, sugars, and sodium (and dietary fibre if declared) together outside the NIP, the %DI for energy alone could be provided without providing the %DI for ot</w:t>
      </w:r>
      <w:r w:rsidRPr="00372F09">
        <w:t>her nutrients, outside the NIP</w:t>
      </w:r>
      <w:r w:rsidR="003D3BA4" w:rsidRPr="00372F09">
        <w:t>.</w:t>
      </w:r>
    </w:p>
    <w:p w14:paraId="1A78D1EE" w14:textId="77777777" w:rsidR="003D3BA4" w:rsidRPr="00372F09" w:rsidRDefault="003D3BA4" w:rsidP="003D3BA4">
      <w:pPr>
        <w:rPr>
          <w:lang w:bidi="ar-SA"/>
        </w:rPr>
      </w:pPr>
    </w:p>
    <w:p w14:paraId="737274C1" w14:textId="0BCAFB26" w:rsidR="00CA2FB2" w:rsidRPr="00372F09" w:rsidRDefault="00CA2FB2" w:rsidP="00CA2FB2">
      <w:pPr>
        <w:pStyle w:val="FSBullet1"/>
      </w:pPr>
      <w:r w:rsidRPr="00372F09">
        <w:t>%DI for dietary fibre is permitted to be declared outside the NIP, together with the %DI for</w:t>
      </w:r>
      <w:r w:rsidR="00FA0FF5">
        <w:t xml:space="preserve"> energy and</w:t>
      </w:r>
      <w:r w:rsidRPr="00372F09">
        <w:t xml:space="preserve"> the prescribed nutrients.</w:t>
      </w:r>
    </w:p>
    <w:p w14:paraId="414F35A7" w14:textId="77777777" w:rsidR="007B7BDD" w:rsidRPr="00372F09" w:rsidRDefault="007B7BDD" w:rsidP="007B7BDD">
      <w:pPr>
        <w:rPr>
          <w:rFonts w:ascii="Helvetica" w:hAnsi="Helvetica" w:cs="Helvetica"/>
        </w:rPr>
      </w:pPr>
    </w:p>
    <w:p w14:paraId="7334A734" w14:textId="35F9E097" w:rsidR="00CA2FB2" w:rsidRPr="00372F09" w:rsidRDefault="003B76E0" w:rsidP="007B7BDD">
      <w:pPr>
        <w:rPr>
          <w:rFonts w:ascii="Helvetica" w:hAnsi="Helvetica" w:cs="Helvetica"/>
        </w:rPr>
      </w:pPr>
      <w:r w:rsidRPr="00372F09">
        <w:rPr>
          <w:rFonts w:ascii="Helvetica" w:hAnsi="Helvetica" w:cs="Helvetica"/>
        </w:rPr>
        <w:t>I</w:t>
      </w:r>
      <w:r w:rsidR="003D3BA4" w:rsidRPr="00372F09">
        <w:rPr>
          <w:rFonts w:ascii="Helvetica" w:hAnsi="Helvetica" w:cs="Helvetica"/>
        </w:rPr>
        <w:t xml:space="preserve">n </w:t>
      </w:r>
      <w:r w:rsidR="00A54B26" w:rsidRPr="00372F09">
        <w:rPr>
          <w:rFonts w:ascii="Helvetica" w:hAnsi="Helvetica" w:cs="Helvetica"/>
        </w:rPr>
        <w:t xml:space="preserve">making these amendments, the proposed variation restated the policy intent </w:t>
      </w:r>
      <w:r w:rsidR="00CA2FB2" w:rsidRPr="00372F09">
        <w:rPr>
          <w:rFonts w:ascii="Helvetica" w:hAnsi="Helvetica" w:cs="Helvetica"/>
        </w:rPr>
        <w:t xml:space="preserve">that %DI </w:t>
      </w:r>
      <w:r w:rsidR="00372F09">
        <w:rPr>
          <w:rFonts w:ascii="Helvetica" w:hAnsi="Helvetica" w:cs="Helvetica"/>
        </w:rPr>
        <w:t xml:space="preserve">information </w:t>
      </w:r>
      <w:r w:rsidR="00FA0FF5">
        <w:rPr>
          <w:rFonts w:ascii="Helvetica" w:hAnsi="Helvetica" w:cs="Helvetica"/>
        </w:rPr>
        <w:t>could</w:t>
      </w:r>
      <w:r w:rsidR="0075266D" w:rsidRPr="00372F09">
        <w:rPr>
          <w:rFonts w:ascii="Helvetica" w:hAnsi="Helvetica" w:cs="Helvetica"/>
        </w:rPr>
        <w:t xml:space="preserve"> be declared outside the NIP if it </w:t>
      </w:r>
      <w:r w:rsidR="00CA2FB2" w:rsidRPr="00372F09">
        <w:rPr>
          <w:rFonts w:ascii="Helvetica" w:hAnsi="Helvetica" w:cs="Helvetica"/>
        </w:rPr>
        <w:t xml:space="preserve">was also declared </w:t>
      </w:r>
      <w:r w:rsidR="0075266D" w:rsidRPr="00372F09">
        <w:rPr>
          <w:rFonts w:ascii="Helvetica" w:hAnsi="Helvetica" w:cs="Helvetica"/>
        </w:rPr>
        <w:t xml:space="preserve">inside </w:t>
      </w:r>
      <w:r w:rsidR="00CA2FB2" w:rsidRPr="00372F09">
        <w:rPr>
          <w:rFonts w:ascii="Helvetica" w:hAnsi="Helvetica" w:cs="Helvetica"/>
        </w:rPr>
        <w:t>the NIP</w:t>
      </w:r>
      <w:r w:rsidR="003D3BA4" w:rsidRPr="00372F09">
        <w:rPr>
          <w:rFonts w:ascii="Helvetica" w:hAnsi="Helvetica" w:cs="Helvetica"/>
        </w:rPr>
        <w:t xml:space="preserve">. </w:t>
      </w:r>
      <w:r w:rsidR="00CA2FB2" w:rsidRPr="00372F09">
        <w:rPr>
          <w:rFonts w:ascii="Helvetica" w:hAnsi="Helvetica" w:cs="Helvetica"/>
        </w:rPr>
        <w:t>In response</w:t>
      </w:r>
      <w:r w:rsidR="003D3BA4" w:rsidRPr="00372F09">
        <w:rPr>
          <w:rFonts w:ascii="Helvetica" w:hAnsi="Helvetica" w:cs="Helvetica"/>
        </w:rPr>
        <w:t xml:space="preserve">, the AFGC </w:t>
      </w:r>
      <w:r w:rsidR="00CA2FB2" w:rsidRPr="00372F09">
        <w:rPr>
          <w:rFonts w:ascii="Helvetica" w:hAnsi="Helvetica" w:cs="Helvetica"/>
        </w:rPr>
        <w:t xml:space="preserve">asserted that </w:t>
      </w:r>
      <w:r w:rsidR="00A54B26" w:rsidRPr="00372F09">
        <w:rPr>
          <w:rFonts w:ascii="Helvetica" w:hAnsi="Helvetica" w:cs="Helvetica"/>
        </w:rPr>
        <w:t xml:space="preserve">the </w:t>
      </w:r>
      <w:r w:rsidR="00FA0FF5">
        <w:rPr>
          <w:rFonts w:ascii="Helvetica" w:hAnsi="Helvetica" w:cs="Helvetica"/>
        </w:rPr>
        <w:t xml:space="preserve">current </w:t>
      </w:r>
      <w:r w:rsidR="00A54B26" w:rsidRPr="00372F09">
        <w:rPr>
          <w:rFonts w:ascii="Helvetica" w:hAnsi="Helvetica" w:cs="Helvetica"/>
        </w:rPr>
        <w:t>p</w:t>
      </w:r>
      <w:r w:rsidR="0075266D" w:rsidRPr="00372F09">
        <w:rPr>
          <w:rFonts w:ascii="Helvetica" w:hAnsi="Helvetica" w:cs="Helvetica"/>
        </w:rPr>
        <w:t xml:space="preserve">rovision did not impose such a requirement and that to now </w:t>
      </w:r>
      <w:r w:rsidR="00CA2FB2" w:rsidRPr="00372F09">
        <w:rPr>
          <w:rFonts w:ascii="Helvetica" w:hAnsi="Helvetica" w:cs="Helvetica"/>
        </w:rPr>
        <w:t>requir</w:t>
      </w:r>
      <w:r w:rsidR="0075266D" w:rsidRPr="00372F09">
        <w:rPr>
          <w:rFonts w:ascii="Helvetica" w:hAnsi="Helvetica" w:cs="Helvetica"/>
        </w:rPr>
        <w:t>e</w:t>
      </w:r>
      <w:r w:rsidR="00CA2FB2" w:rsidRPr="00372F09">
        <w:rPr>
          <w:rFonts w:ascii="Helvetica" w:hAnsi="Helvetica" w:cs="Helvetica"/>
        </w:rPr>
        <w:t xml:space="preserve"> certain %DI declarations in NIPs as a pre-condition for stating %DI values outside the NIP</w:t>
      </w:r>
      <w:r w:rsidR="00B678AD">
        <w:rPr>
          <w:rFonts w:ascii="Helvetica" w:hAnsi="Helvetica" w:cs="Helvetica"/>
        </w:rPr>
        <w:t>, it</w:t>
      </w:r>
      <w:r w:rsidR="0075266D" w:rsidRPr="00372F09">
        <w:rPr>
          <w:rFonts w:ascii="Helvetica" w:hAnsi="Helvetica" w:cs="Helvetica"/>
        </w:rPr>
        <w:t xml:space="preserve"> would be</w:t>
      </w:r>
      <w:r w:rsidR="00CA2FB2" w:rsidRPr="00372F09">
        <w:rPr>
          <w:rFonts w:ascii="Helvetica" w:hAnsi="Helvetica" w:cs="Helvetica"/>
        </w:rPr>
        <w:t xml:space="preserve"> </w:t>
      </w:r>
      <w:r w:rsidR="0075266D" w:rsidRPr="00372F09">
        <w:rPr>
          <w:rFonts w:ascii="Helvetica" w:hAnsi="Helvetica" w:cs="Helvetica"/>
        </w:rPr>
        <w:t xml:space="preserve">additional or </w:t>
      </w:r>
      <w:r w:rsidR="00CA2FB2" w:rsidRPr="00372F09">
        <w:rPr>
          <w:rFonts w:ascii="Helvetica" w:hAnsi="Helvetica" w:cs="Helvetica"/>
        </w:rPr>
        <w:t>further regulation</w:t>
      </w:r>
      <w:r w:rsidR="0075266D" w:rsidRPr="00372F09">
        <w:rPr>
          <w:rFonts w:ascii="Helvetica" w:hAnsi="Helvetica" w:cs="Helvetica"/>
        </w:rPr>
        <w:t>, be ou</w:t>
      </w:r>
      <w:r w:rsidR="00FA0FF5">
        <w:rPr>
          <w:rFonts w:ascii="Helvetica" w:hAnsi="Helvetica" w:cs="Helvetica"/>
        </w:rPr>
        <w:t>tside the stated scope of the</w:t>
      </w:r>
      <w:r w:rsidR="00372F09">
        <w:rPr>
          <w:rFonts w:ascii="Helvetica" w:hAnsi="Helvetica" w:cs="Helvetica"/>
        </w:rPr>
        <w:t xml:space="preserve"> P</w:t>
      </w:r>
      <w:r w:rsidR="0075266D" w:rsidRPr="00372F09">
        <w:rPr>
          <w:rFonts w:ascii="Helvetica" w:hAnsi="Helvetica" w:cs="Helvetica"/>
        </w:rPr>
        <w:t>roposal,</w:t>
      </w:r>
      <w:r w:rsidR="00CA2FB2" w:rsidRPr="00372F09">
        <w:rPr>
          <w:rFonts w:ascii="Helvetica" w:hAnsi="Helvetica" w:cs="Helvetica"/>
        </w:rPr>
        <w:t xml:space="preserve"> and would render some existing labels illegal.</w:t>
      </w:r>
    </w:p>
    <w:p w14:paraId="0D395DF5" w14:textId="77777777" w:rsidR="003D3BA4" w:rsidRPr="00372F09" w:rsidRDefault="003D3BA4" w:rsidP="007B7BDD">
      <w:pPr>
        <w:rPr>
          <w:rFonts w:ascii="Helvetica" w:hAnsi="Helvetica" w:cs="Helvetica"/>
        </w:rPr>
      </w:pPr>
    </w:p>
    <w:p w14:paraId="6CD62F82" w14:textId="6DDC7783" w:rsidR="003D3BA4" w:rsidRPr="00372F09" w:rsidRDefault="00FA0FF5" w:rsidP="007B7BDD">
      <w:pPr>
        <w:rPr>
          <w:rFonts w:ascii="Helvetica" w:hAnsi="Helvetica" w:cs="Helvetica"/>
        </w:rPr>
      </w:pPr>
      <w:r>
        <w:rPr>
          <w:rFonts w:ascii="Helvetica" w:hAnsi="Helvetica" w:cs="Helvetica"/>
        </w:rPr>
        <w:t xml:space="preserve">In response to submitter concerns, </w:t>
      </w:r>
      <w:r w:rsidR="003D3BA4" w:rsidRPr="00372F09">
        <w:rPr>
          <w:rFonts w:ascii="Helvetica" w:hAnsi="Helvetica" w:cs="Helvetica"/>
        </w:rPr>
        <w:t xml:space="preserve">FSANZ has reviewed the current </w:t>
      </w:r>
      <w:r>
        <w:rPr>
          <w:rFonts w:ascii="Helvetica" w:hAnsi="Helvetica" w:cs="Helvetica"/>
        </w:rPr>
        <w:t>provisions</w:t>
      </w:r>
      <w:r w:rsidR="003D3BA4" w:rsidRPr="00372F09">
        <w:rPr>
          <w:rFonts w:ascii="Helvetica" w:hAnsi="Helvetica" w:cs="Helvetica"/>
        </w:rPr>
        <w:t xml:space="preserve"> and has decided not to proceed with the draft variation r</w:t>
      </w:r>
      <w:r w:rsidR="005D043E" w:rsidRPr="00372F09">
        <w:rPr>
          <w:rFonts w:ascii="Helvetica" w:hAnsi="Helvetica" w:cs="Helvetica"/>
        </w:rPr>
        <w:t xml:space="preserve">elating to %DI </w:t>
      </w:r>
      <w:r w:rsidR="003D3BA4" w:rsidRPr="00372F09">
        <w:rPr>
          <w:rFonts w:ascii="Helvetica" w:hAnsi="Helvetica" w:cs="Helvetica"/>
        </w:rPr>
        <w:t xml:space="preserve">(i.e. clause 7B </w:t>
      </w:r>
      <w:r w:rsidR="000205A3" w:rsidRPr="00372F09">
        <w:rPr>
          <w:rFonts w:ascii="Helvetica" w:hAnsi="Helvetica" w:cs="Helvetica"/>
        </w:rPr>
        <w:t>(</w:t>
      </w:r>
      <w:r w:rsidR="00007372" w:rsidRPr="00372F09">
        <w:rPr>
          <w:rFonts w:ascii="Helvetica" w:hAnsi="Helvetica" w:cs="Helvetica"/>
        </w:rPr>
        <w:t>current</w:t>
      </w:r>
      <w:r w:rsidR="000205A3" w:rsidRPr="00372F09">
        <w:rPr>
          <w:rFonts w:ascii="Helvetica" w:hAnsi="Helvetica" w:cs="Helvetica"/>
        </w:rPr>
        <w:t xml:space="preserve"> Code) </w:t>
      </w:r>
      <w:r w:rsidR="005D043E" w:rsidRPr="00372F09">
        <w:rPr>
          <w:rFonts w:ascii="Helvetica" w:hAnsi="Helvetica" w:cs="Helvetica"/>
        </w:rPr>
        <w:t>and section 1.2.8</w:t>
      </w:r>
      <w:r w:rsidR="005D043E" w:rsidRPr="00372F09">
        <w:t>—</w:t>
      </w:r>
      <w:r w:rsidR="003D3BA4" w:rsidRPr="00372F09">
        <w:rPr>
          <w:rFonts w:ascii="Helvetica" w:hAnsi="Helvetica" w:cs="Helvetica"/>
        </w:rPr>
        <w:t xml:space="preserve">10 </w:t>
      </w:r>
      <w:r w:rsidR="00372F09">
        <w:rPr>
          <w:rFonts w:ascii="Helvetica" w:hAnsi="Helvetica" w:cs="Helvetica"/>
        </w:rPr>
        <w:t>(revised Code</w:t>
      </w:r>
      <w:r w:rsidR="003D3BA4" w:rsidRPr="00372F09">
        <w:rPr>
          <w:rFonts w:ascii="Helvetica" w:hAnsi="Helvetica" w:cs="Helvetica"/>
        </w:rPr>
        <w:t xml:space="preserve">). </w:t>
      </w:r>
      <w:r w:rsidR="0015686D" w:rsidRPr="00372F09">
        <w:rPr>
          <w:rFonts w:ascii="Helvetica" w:hAnsi="Helvetica" w:cs="Helvetica"/>
        </w:rPr>
        <w:t>This is based on concerns that the amendment would result in more significant changes than the minor amend</w:t>
      </w:r>
      <w:r w:rsidR="00B66DA5" w:rsidRPr="00372F09">
        <w:rPr>
          <w:rFonts w:ascii="Helvetica" w:hAnsi="Helvetica" w:cs="Helvetica"/>
        </w:rPr>
        <w:t>ments within the scope of this P</w:t>
      </w:r>
      <w:r w:rsidR="0015686D" w:rsidRPr="00372F09">
        <w:rPr>
          <w:rFonts w:ascii="Helvetica" w:hAnsi="Helvetica" w:cs="Helvetica"/>
        </w:rPr>
        <w:t xml:space="preserve">roposal and therefore </w:t>
      </w:r>
      <w:r w:rsidR="00B66DA5" w:rsidRPr="00372F09">
        <w:rPr>
          <w:rFonts w:ascii="Helvetica" w:hAnsi="Helvetica" w:cs="Helvetica"/>
        </w:rPr>
        <w:t xml:space="preserve">require </w:t>
      </w:r>
      <w:r w:rsidR="0015686D" w:rsidRPr="00372F09">
        <w:rPr>
          <w:rFonts w:ascii="Helvetica" w:hAnsi="Helvetica" w:cs="Helvetica"/>
        </w:rPr>
        <w:t xml:space="preserve">a more </w:t>
      </w:r>
      <w:r w:rsidR="00B66DA5" w:rsidRPr="00372F09">
        <w:rPr>
          <w:rFonts w:ascii="Helvetica" w:hAnsi="Helvetica" w:cs="Helvetica"/>
        </w:rPr>
        <w:t>thorough assessment</w:t>
      </w:r>
      <w:r w:rsidR="0071279B" w:rsidRPr="00372F09">
        <w:rPr>
          <w:rFonts w:ascii="Helvetica" w:hAnsi="Helvetica" w:cs="Helvetica"/>
        </w:rPr>
        <w:t xml:space="preserve">. </w:t>
      </w:r>
    </w:p>
    <w:p w14:paraId="39076C61" w14:textId="77777777" w:rsidR="003D3BA4" w:rsidRPr="00372F09" w:rsidRDefault="003D3BA4" w:rsidP="007B7BDD">
      <w:pPr>
        <w:rPr>
          <w:rFonts w:ascii="Helvetica" w:hAnsi="Helvetica" w:cs="Helvetica"/>
        </w:rPr>
      </w:pPr>
    </w:p>
    <w:p w14:paraId="3F76CC5D" w14:textId="0E97E46E" w:rsidR="003B76E0" w:rsidRPr="00372F09" w:rsidRDefault="003B76E0" w:rsidP="007B7BDD">
      <w:pPr>
        <w:rPr>
          <w:rFonts w:ascii="Helvetica" w:hAnsi="Helvetica" w:cs="Helvetica"/>
        </w:rPr>
      </w:pPr>
      <w:r w:rsidRPr="00372F09">
        <w:rPr>
          <w:rFonts w:ascii="Helvetica" w:hAnsi="Helvetica" w:cs="Helvetica"/>
        </w:rPr>
        <w:t xml:space="preserve">In terms of the clarification that was intended to be provided by </w:t>
      </w:r>
      <w:r w:rsidR="00FA0FF5">
        <w:rPr>
          <w:rFonts w:ascii="Helvetica" w:hAnsi="Helvetica" w:cs="Helvetica"/>
        </w:rPr>
        <w:t>the draft variation in the call for submissions (see Attachments C and D),</w:t>
      </w:r>
      <w:r w:rsidRPr="00372F09">
        <w:rPr>
          <w:rFonts w:ascii="Helvetica" w:hAnsi="Helvetica" w:cs="Helvetica"/>
        </w:rPr>
        <w:t xml:space="preserve"> FSANZ considers that the </w:t>
      </w:r>
      <w:r w:rsidR="0075266D" w:rsidRPr="00372F09">
        <w:rPr>
          <w:rFonts w:ascii="Helvetica" w:hAnsi="Helvetica" w:cs="Helvetica"/>
        </w:rPr>
        <w:t xml:space="preserve">provisions currently in either version of the Code </w:t>
      </w:r>
      <w:r w:rsidRPr="00372F09">
        <w:rPr>
          <w:rFonts w:ascii="Helvetica" w:hAnsi="Helvetica" w:cs="Helvetica"/>
        </w:rPr>
        <w:t xml:space="preserve">do not explicitly prohibit %DI for energy alone (without %DI for the other nutrients) </w:t>
      </w:r>
      <w:r w:rsidR="00B678AD">
        <w:rPr>
          <w:rFonts w:ascii="Helvetica" w:hAnsi="Helvetica" w:cs="Helvetica"/>
        </w:rPr>
        <w:t xml:space="preserve">from </w:t>
      </w:r>
      <w:r w:rsidRPr="00372F09">
        <w:rPr>
          <w:rFonts w:ascii="Helvetica" w:hAnsi="Helvetica" w:cs="Helvetica"/>
        </w:rPr>
        <w:t xml:space="preserve">being provided outside the NIP. Likewise, there is no </w:t>
      </w:r>
      <w:r w:rsidR="001B15AA" w:rsidRPr="00372F09">
        <w:rPr>
          <w:rFonts w:ascii="Helvetica" w:hAnsi="Helvetica" w:cs="Helvetica"/>
        </w:rPr>
        <w:t xml:space="preserve">explicit </w:t>
      </w:r>
      <w:r w:rsidRPr="00372F09">
        <w:rPr>
          <w:rFonts w:ascii="Helvetica" w:hAnsi="Helvetica" w:cs="Helvetica"/>
        </w:rPr>
        <w:t xml:space="preserve">prohibition on providing %DI for dietary fibre outside the NIP. </w:t>
      </w:r>
    </w:p>
    <w:p w14:paraId="1E176896" w14:textId="77777777" w:rsidR="00F63C2C" w:rsidRDefault="00F63C2C" w:rsidP="001142C7">
      <w:pPr>
        <w:pStyle w:val="Heading3"/>
      </w:pPr>
      <w:bookmarkStart w:id="72" w:name="_Toc420052987"/>
      <w:bookmarkStart w:id="73" w:name="_Toc428861608"/>
      <w:r>
        <w:br w:type="page"/>
      </w:r>
    </w:p>
    <w:p w14:paraId="59793CA1" w14:textId="260B6466" w:rsidR="007B7BDD" w:rsidRPr="007B7BDD" w:rsidRDefault="007B7BDD" w:rsidP="001142C7">
      <w:pPr>
        <w:pStyle w:val="Heading3"/>
      </w:pPr>
      <w:r w:rsidRPr="007B7BDD">
        <w:lastRenderedPageBreak/>
        <w:t>2.</w:t>
      </w:r>
      <w:r>
        <w:t>3</w:t>
      </w:r>
      <w:r w:rsidRPr="007B7BDD">
        <w:t>.4</w:t>
      </w:r>
      <w:r w:rsidRPr="007B7BDD">
        <w:tab/>
        <w:t>Nutrition information requirements on small packages</w:t>
      </w:r>
      <w:bookmarkEnd w:id="72"/>
      <w:bookmarkEnd w:id="73"/>
      <w:r w:rsidRPr="007B7BDD">
        <w:t xml:space="preserve"> </w:t>
      </w:r>
    </w:p>
    <w:p w14:paraId="1B17E400" w14:textId="41908F57" w:rsidR="007B7BDD" w:rsidRPr="007B7BDD" w:rsidRDefault="007B7BDD" w:rsidP="008E0C66">
      <w:pPr>
        <w:autoSpaceDE w:val="0"/>
        <w:rPr>
          <w:lang w:eastAsia="en-AU" w:bidi="ar-SA"/>
        </w:rPr>
      </w:pPr>
      <w:r w:rsidRPr="007B7BDD">
        <w:rPr>
          <w:lang w:eastAsia="en-AU" w:bidi="ar-SA"/>
        </w:rPr>
        <w:t>Small packages</w:t>
      </w:r>
      <w:r w:rsidR="00143DBA">
        <w:rPr>
          <w:rFonts w:ascii="ZWAdobeF" w:hAnsi="ZWAdobeF" w:cs="ZWAdobeF"/>
          <w:sz w:val="2"/>
          <w:szCs w:val="2"/>
          <w:lang w:eastAsia="en-AU" w:bidi="ar-SA"/>
        </w:rPr>
        <w:t>7F</w:t>
      </w:r>
      <w:r w:rsidR="008E0C66">
        <w:rPr>
          <w:rFonts w:ascii="ZWAdobeF" w:hAnsi="ZWAdobeF" w:cs="ZWAdobeF"/>
          <w:sz w:val="2"/>
          <w:szCs w:val="2"/>
          <w:lang w:eastAsia="en-AU" w:bidi="ar-SA"/>
        </w:rPr>
        <w:t>7F</w:t>
      </w:r>
      <w:r w:rsidRPr="007B7BDD">
        <w:rPr>
          <w:vertAlign w:val="superscript"/>
          <w:lang w:eastAsia="en-AU" w:bidi="ar-SA"/>
        </w:rPr>
        <w:footnoteReference w:id="9"/>
      </w:r>
      <w:r w:rsidRPr="007B7BDD">
        <w:rPr>
          <w:lang w:eastAsia="en-AU" w:bidi="ar-SA"/>
        </w:rPr>
        <w:t xml:space="preserve"> are exempt from the requirement to be labelled with a NIP. If a nutrition content claim or health claim is made in relation to a food in a small package, certain nutrition information must be provided on the label. The requirements for nutrition labelling of small packages were reviewed and clarified during Proposal P293.  </w:t>
      </w:r>
    </w:p>
    <w:p w14:paraId="7E92A2F9" w14:textId="77777777" w:rsidR="007B7BDD" w:rsidRPr="007B7BDD" w:rsidRDefault="007B7BDD" w:rsidP="007B7BDD">
      <w:pPr>
        <w:rPr>
          <w:lang w:eastAsia="en-AU" w:bidi="ar-SA"/>
        </w:rPr>
      </w:pPr>
    </w:p>
    <w:p w14:paraId="5A831587" w14:textId="165F222F" w:rsidR="007B7BDD" w:rsidRPr="007B7BDD" w:rsidRDefault="007B7BDD" w:rsidP="007B7BDD">
      <w:pPr>
        <w:rPr>
          <w:lang w:eastAsia="en-AU" w:bidi="ar-SA"/>
        </w:rPr>
      </w:pPr>
      <w:r w:rsidRPr="007B7BDD">
        <w:rPr>
          <w:lang w:eastAsia="en-AU" w:bidi="ar-SA"/>
        </w:rPr>
        <w:t xml:space="preserve">As a result of that review, Standard 1.2.8 requires that if claims about cholesterol or certain fatty acids are made, the label on a small package must indicate the ‘minimum’, ‘maximum’ or ‘average quantity’ of saturated, </w:t>
      </w:r>
      <w:r w:rsidRPr="0005153B">
        <w:rPr>
          <w:lang w:eastAsia="en-AU"/>
        </w:rPr>
        <w:t>trans</w:t>
      </w:r>
      <w:r w:rsidRPr="007B7BDD">
        <w:rPr>
          <w:lang w:eastAsia="en-AU" w:bidi="ar-SA"/>
        </w:rPr>
        <w:t xml:space="preserve">, polyunsaturated and monounsaturated fatty acids per serving of the food. Permission to declare the minimum or maximum amounts rather than the average quantity was provided for consistency with provisions for NIPs on larger packages (subclause 5(1A) of Standard 1.2.8 </w:t>
      </w:r>
      <w:r w:rsidR="004D3026">
        <w:rPr>
          <w:lang w:eastAsia="en-AU" w:bidi="ar-SA"/>
        </w:rPr>
        <w:t>in the current Code</w:t>
      </w:r>
      <w:r w:rsidR="00DD048B">
        <w:rPr>
          <w:lang w:eastAsia="en-AU" w:bidi="ar-SA"/>
        </w:rPr>
        <w:t xml:space="preserve">; subsection </w:t>
      </w:r>
      <w:r w:rsidR="00DD048B">
        <w:t>1.2.8</w:t>
      </w:r>
      <w:r w:rsidR="00DD048B" w:rsidRPr="00D80068">
        <w:t>—</w:t>
      </w:r>
      <w:r w:rsidR="00DD048B">
        <w:t xml:space="preserve">6(4) </w:t>
      </w:r>
      <w:r w:rsidR="004D3026">
        <w:t>in the revised Code</w:t>
      </w:r>
      <w:r w:rsidRPr="007B7BDD">
        <w:rPr>
          <w:lang w:eastAsia="en-AU" w:bidi="ar-SA"/>
        </w:rPr>
        <w:t>). However, the minimum or maximum amounts are only permitted to be declared in a NIP if the claim is about a food standardised in Standard 2.4.1 or 2.4.2 (edible oils or edible oil spreads)</w:t>
      </w:r>
      <w:r w:rsidR="00764A82">
        <w:rPr>
          <w:lang w:eastAsia="en-AU" w:bidi="ar-SA"/>
        </w:rPr>
        <w:t xml:space="preserve"> (current and revised Codes)</w:t>
      </w:r>
      <w:r w:rsidRPr="007B7BDD">
        <w:rPr>
          <w:lang w:eastAsia="en-AU" w:bidi="ar-SA"/>
        </w:rPr>
        <w:t xml:space="preserve"> and the claim relates to polyunsaturated fatty acids or monounsaturated fatty acids. Permission for a minimum or maximum amount to be declared was provided because it was considered not technically feasible to determine the average</w:t>
      </w:r>
      <w:r w:rsidR="00B66DA5">
        <w:rPr>
          <w:lang w:eastAsia="en-AU" w:bidi="ar-SA"/>
        </w:rPr>
        <w:t xml:space="preserve"> quantity</w:t>
      </w:r>
      <w:r w:rsidRPr="007B7BDD">
        <w:rPr>
          <w:lang w:eastAsia="en-AU" w:bidi="ar-SA"/>
        </w:rPr>
        <w:t xml:space="preserve"> of a fatty acid that is present because of the seasonal variability in the source of oils and fats used. </w:t>
      </w:r>
    </w:p>
    <w:p w14:paraId="71DDCB9C" w14:textId="77777777" w:rsidR="007B7BDD" w:rsidRPr="007B7BDD" w:rsidRDefault="007B7BDD" w:rsidP="007B7BDD">
      <w:pPr>
        <w:rPr>
          <w:lang w:eastAsia="en-AU" w:bidi="ar-SA"/>
        </w:rPr>
      </w:pPr>
    </w:p>
    <w:p w14:paraId="64D90B44" w14:textId="362D6A43" w:rsidR="007B7BDD" w:rsidRPr="007B7BDD" w:rsidRDefault="00F15C80" w:rsidP="007B7BDD">
      <w:pPr>
        <w:rPr>
          <w:lang w:eastAsia="en-AU" w:bidi="ar-SA"/>
        </w:rPr>
      </w:pPr>
      <w:r>
        <w:rPr>
          <w:lang w:eastAsia="en-AU" w:bidi="ar-SA"/>
        </w:rPr>
        <w:t>Provisions</w:t>
      </w:r>
      <w:r w:rsidR="007B7BDD" w:rsidRPr="007B7BDD">
        <w:rPr>
          <w:lang w:eastAsia="en-AU" w:bidi="ar-SA"/>
        </w:rPr>
        <w:t xml:space="preserve"> for the declaration of fatty acids on small packages</w:t>
      </w:r>
      <w:r>
        <w:rPr>
          <w:lang w:eastAsia="en-AU" w:bidi="ar-SA"/>
        </w:rPr>
        <w:t xml:space="preserve"> </w:t>
      </w:r>
      <w:r w:rsidR="000174F5">
        <w:rPr>
          <w:lang w:eastAsia="en-AU" w:bidi="ar-SA"/>
        </w:rPr>
        <w:t>will</w:t>
      </w:r>
      <w:r w:rsidR="000174F5" w:rsidRPr="007B7BDD">
        <w:rPr>
          <w:lang w:eastAsia="en-AU" w:bidi="ar-SA"/>
        </w:rPr>
        <w:t xml:space="preserve"> be</w:t>
      </w:r>
      <w:r w:rsidR="007B7BDD" w:rsidRPr="007B7BDD">
        <w:rPr>
          <w:lang w:eastAsia="en-AU" w:bidi="ar-SA"/>
        </w:rPr>
        <w:t xml:space="preserve"> amended to be consistent with </w:t>
      </w:r>
      <w:r w:rsidR="00007372">
        <w:rPr>
          <w:lang w:eastAsia="en-AU" w:bidi="ar-SA"/>
        </w:rPr>
        <w:t>current</w:t>
      </w:r>
      <w:r w:rsidR="007B7BDD" w:rsidRPr="007B7BDD">
        <w:rPr>
          <w:lang w:eastAsia="en-AU" w:bidi="ar-SA"/>
        </w:rPr>
        <w:t xml:space="preserve"> provisions for NIPs on larger packages.  </w:t>
      </w:r>
    </w:p>
    <w:p w14:paraId="7592299C" w14:textId="77777777" w:rsidR="007B7BDD" w:rsidRPr="007B7BDD" w:rsidRDefault="007B7BDD" w:rsidP="007B7BDD">
      <w:pPr>
        <w:rPr>
          <w:lang w:eastAsia="en-AU" w:bidi="ar-SA"/>
        </w:rPr>
      </w:pPr>
    </w:p>
    <w:p w14:paraId="035333D2" w14:textId="77777777" w:rsidR="007B7BDD" w:rsidRPr="007B7BDD" w:rsidRDefault="007B7BDD" w:rsidP="007B7BDD">
      <w:pPr>
        <w:rPr>
          <w:lang w:eastAsia="en-AU" w:bidi="ar-SA"/>
        </w:rPr>
      </w:pPr>
      <w:r w:rsidRPr="007B7BDD">
        <w:rPr>
          <w:lang w:eastAsia="en-AU" w:bidi="ar-SA"/>
        </w:rPr>
        <w:t xml:space="preserve">Similarly, the drafting inadvertently permitted the minimum or maximum amounts of galactose, sodium and potassium to be declared when certain claims are made about food in a small package. This will be amended to require the ‘average quantity’ to be declared, consistent with requirements for NIPs on larger packages.  </w:t>
      </w:r>
    </w:p>
    <w:p w14:paraId="29F7B337" w14:textId="77777777" w:rsidR="007B7BDD" w:rsidRPr="007B7BDD" w:rsidRDefault="007B7BDD" w:rsidP="007B7BDD">
      <w:pPr>
        <w:rPr>
          <w:lang w:eastAsia="en-AU" w:bidi="ar-SA"/>
        </w:rPr>
      </w:pPr>
    </w:p>
    <w:p w14:paraId="1EA31A1B" w14:textId="09AF9203" w:rsidR="007B7BDD" w:rsidRPr="007B7BDD" w:rsidRDefault="007B7BDD" w:rsidP="007B7BDD">
      <w:pPr>
        <w:rPr>
          <w:lang w:eastAsia="en-AU" w:bidi="ar-SA"/>
        </w:rPr>
      </w:pPr>
      <w:r w:rsidRPr="007B7BDD">
        <w:rPr>
          <w:lang w:eastAsia="en-AU" w:bidi="ar-SA"/>
        </w:rPr>
        <w:t>For claims on small packages about dietary fibre, sugars or any other carbohydrates, Standard 1.2.8</w:t>
      </w:r>
      <w:r w:rsidR="0070697F">
        <w:rPr>
          <w:lang w:eastAsia="en-AU" w:bidi="ar-SA"/>
        </w:rPr>
        <w:t xml:space="preserve"> </w:t>
      </w:r>
      <w:r w:rsidR="004D3026">
        <w:rPr>
          <w:lang w:eastAsia="en-AU" w:bidi="ar-SA"/>
        </w:rPr>
        <w:t>in the current Code</w:t>
      </w:r>
      <w:r w:rsidR="0070697F">
        <w:rPr>
          <w:lang w:eastAsia="en-AU" w:bidi="ar-SA"/>
        </w:rPr>
        <w:t xml:space="preserve"> (</w:t>
      </w:r>
      <w:r w:rsidR="000205A3">
        <w:rPr>
          <w:lang w:eastAsia="en-AU" w:bidi="ar-SA"/>
        </w:rPr>
        <w:t xml:space="preserve">Schedule 13 </w:t>
      </w:r>
      <w:r w:rsidR="004D3026">
        <w:rPr>
          <w:lang w:eastAsia="en-AU" w:bidi="ar-SA"/>
        </w:rPr>
        <w:t>in the revised Code</w:t>
      </w:r>
      <w:r w:rsidR="0070697F">
        <w:rPr>
          <w:lang w:eastAsia="en-AU" w:bidi="ar-SA"/>
        </w:rPr>
        <w:t>)</w:t>
      </w:r>
      <w:r w:rsidRPr="007B7BDD">
        <w:rPr>
          <w:lang w:eastAsia="en-AU" w:bidi="ar-SA"/>
        </w:rPr>
        <w:t xml:space="preserve"> currently require</w:t>
      </w:r>
      <w:r w:rsidR="0070697F">
        <w:rPr>
          <w:lang w:eastAsia="en-AU" w:bidi="ar-SA"/>
        </w:rPr>
        <w:t>s</w:t>
      </w:r>
      <w:r w:rsidRPr="007B7BDD">
        <w:rPr>
          <w:lang w:eastAsia="en-AU" w:bidi="ar-SA"/>
        </w:rPr>
        <w:t xml:space="preserve"> the ‘average quantity of energy’ to be declared rather than the ‘average energy content’ as is required for NIPs on larger packages. Average energy content is to be calculated in accordance with the standardised method in </w:t>
      </w:r>
      <w:r w:rsidR="000205A3">
        <w:rPr>
          <w:lang w:eastAsia="en-AU" w:bidi="ar-SA"/>
        </w:rPr>
        <w:t>the</w:t>
      </w:r>
      <w:r w:rsidRPr="007B7BDD">
        <w:rPr>
          <w:lang w:eastAsia="en-AU" w:bidi="ar-SA"/>
        </w:rPr>
        <w:t xml:space="preserve"> Code. For claims about dietary fibre, sugars or any other carbohydrates, the ‘average energy content’ </w:t>
      </w:r>
      <w:r w:rsidR="00F15C80">
        <w:rPr>
          <w:lang w:eastAsia="en-AU" w:bidi="ar-SA"/>
        </w:rPr>
        <w:t>will be</w:t>
      </w:r>
      <w:r w:rsidR="00F15C80" w:rsidRPr="007B7BDD">
        <w:rPr>
          <w:lang w:eastAsia="en-AU" w:bidi="ar-SA"/>
        </w:rPr>
        <w:t xml:space="preserve"> </w:t>
      </w:r>
      <w:r w:rsidRPr="007B7BDD">
        <w:rPr>
          <w:lang w:eastAsia="en-AU" w:bidi="ar-SA"/>
        </w:rPr>
        <w:t xml:space="preserve">required to be declared on small packages where applicable, to ensure that the standardised method for calculation is used and for consistency with the approach for NIPs on larger packages.  </w:t>
      </w:r>
    </w:p>
    <w:p w14:paraId="722D2F1C" w14:textId="77777777" w:rsidR="007B7BDD" w:rsidRPr="007B7BDD" w:rsidRDefault="007B7BDD" w:rsidP="007B7BDD">
      <w:pPr>
        <w:widowControl/>
        <w:rPr>
          <w:lang w:eastAsia="en-AU" w:bidi="ar-SA"/>
        </w:rPr>
      </w:pPr>
    </w:p>
    <w:p w14:paraId="0D302570" w14:textId="5480B8D0" w:rsidR="007B7BDD" w:rsidRPr="007B7BDD" w:rsidRDefault="007B7BDD" w:rsidP="007B7BDD">
      <w:pPr>
        <w:rPr>
          <w:lang w:eastAsia="en-AU" w:bidi="ar-SA"/>
        </w:rPr>
      </w:pPr>
      <w:r w:rsidRPr="007B7BDD">
        <w:rPr>
          <w:lang w:eastAsia="en-AU" w:bidi="ar-SA"/>
        </w:rPr>
        <w:t xml:space="preserve">In addition, a ‘declaration of’ unavailable carbohydrate and other substances if present (e.g. erythritol, glycerol), is required when claims about dietary fibre, sugars or any other carbohydrates are made, however it is not clear that an amount must be declared, or </w:t>
      </w:r>
      <w:r w:rsidR="00226947">
        <w:rPr>
          <w:lang w:eastAsia="en-AU" w:bidi="ar-SA"/>
        </w:rPr>
        <w:t xml:space="preserve">to </w:t>
      </w:r>
      <w:r w:rsidRPr="007B7BDD">
        <w:rPr>
          <w:lang w:eastAsia="en-AU" w:bidi="ar-SA"/>
        </w:rPr>
        <w:t>what quantity of food the amount of each substance must relate.</w:t>
      </w:r>
      <w:r w:rsidR="002623AE">
        <w:rPr>
          <w:lang w:eastAsia="en-AU" w:bidi="ar-SA"/>
        </w:rPr>
        <w:t xml:space="preserve"> </w:t>
      </w:r>
      <w:r w:rsidRPr="007B7BDD">
        <w:rPr>
          <w:lang w:eastAsia="en-AU" w:bidi="ar-SA"/>
        </w:rPr>
        <w:t xml:space="preserve">The provisions for small packages making claims about dietary fibre, sugars or any other carbohydrates will be amended to be consistent with </w:t>
      </w:r>
      <w:r w:rsidR="00007372">
        <w:rPr>
          <w:lang w:eastAsia="en-AU" w:bidi="ar-SA"/>
        </w:rPr>
        <w:t>current</w:t>
      </w:r>
      <w:r w:rsidRPr="007B7BDD">
        <w:rPr>
          <w:lang w:eastAsia="en-AU" w:bidi="ar-SA"/>
        </w:rPr>
        <w:t xml:space="preserve"> provisions for NIPs on larger packages and with other declarations on small packages, as was intended, i.e.</w:t>
      </w:r>
      <w:r w:rsidRPr="007B7BDD">
        <w:t xml:space="preserve"> </w:t>
      </w:r>
      <w:r w:rsidRPr="007B7BDD">
        <w:rPr>
          <w:lang w:eastAsia="en-AU" w:bidi="ar-SA"/>
        </w:rPr>
        <w:t>the average quantity of these substances must be declared, per serving.</w:t>
      </w:r>
    </w:p>
    <w:p w14:paraId="456F266C" w14:textId="6848EA45" w:rsidR="000834A6" w:rsidRPr="007B7BDD" w:rsidRDefault="000834A6" w:rsidP="007B7BDD">
      <w:pPr>
        <w:rPr>
          <w:lang w:eastAsia="en-AU" w:bidi="ar-SA"/>
        </w:rPr>
      </w:pPr>
    </w:p>
    <w:p w14:paraId="59BBEE7C" w14:textId="7771EA2D" w:rsidR="00F63C2C" w:rsidRDefault="007B7BDD" w:rsidP="007B7BDD">
      <w:pPr>
        <w:rPr>
          <w:lang w:eastAsia="en-AU" w:bidi="ar-SA"/>
        </w:rPr>
      </w:pPr>
      <w:r w:rsidRPr="007B7BDD">
        <w:rPr>
          <w:lang w:eastAsia="en-AU" w:bidi="ar-SA"/>
        </w:rPr>
        <w:t xml:space="preserve">Standard 1.2.8 </w:t>
      </w:r>
      <w:r w:rsidR="0070697F">
        <w:rPr>
          <w:lang w:eastAsia="en-AU" w:bidi="ar-SA"/>
        </w:rPr>
        <w:t xml:space="preserve">of both the current and revised Codes </w:t>
      </w:r>
      <w:r w:rsidRPr="007B7BDD">
        <w:rPr>
          <w:lang w:eastAsia="en-AU" w:bidi="ar-SA"/>
        </w:rPr>
        <w:t>permits the word ‘serving’ to be replaced with ‘metric cup’ for a small package</w:t>
      </w:r>
      <w:r w:rsidR="00354F1D">
        <w:rPr>
          <w:lang w:eastAsia="en-AU" w:bidi="ar-SA"/>
        </w:rPr>
        <w:t>.</w:t>
      </w:r>
      <w:r w:rsidRPr="007B7BDD">
        <w:rPr>
          <w:lang w:eastAsia="en-AU" w:bidi="ar-SA"/>
        </w:rPr>
        <w:t xml:space="preserve"> </w:t>
      </w:r>
      <w:r w:rsidR="00354F1D">
        <w:rPr>
          <w:lang w:eastAsia="en-AU" w:bidi="ar-SA"/>
        </w:rPr>
        <w:t>H</w:t>
      </w:r>
      <w:r w:rsidRPr="007B7BDD">
        <w:rPr>
          <w:lang w:eastAsia="en-AU" w:bidi="ar-SA"/>
        </w:rPr>
        <w:t>owever</w:t>
      </w:r>
      <w:r w:rsidR="00354F1D">
        <w:rPr>
          <w:lang w:eastAsia="en-AU" w:bidi="ar-SA"/>
        </w:rPr>
        <w:t>,</w:t>
      </w:r>
      <w:r w:rsidRPr="007B7BDD">
        <w:rPr>
          <w:lang w:eastAsia="en-AU" w:bidi="ar-SA"/>
        </w:rPr>
        <w:t xml:space="preserve"> given the dimensions of a small package, this is not appropriate</w:t>
      </w:r>
      <w:r w:rsidR="00354F1D">
        <w:rPr>
          <w:lang w:eastAsia="en-AU" w:bidi="ar-SA"/>
        </w:rPr>
        <w:t xml:space="preserve"> and therefore the</w:t>
      </w:r>
      <w:r w:rsidRPr="007B7BDD">
        <w:rPr>
          <w:lang w:eastAsia="en-AU" w:bidi="ar-SA"/>
        </w:rPr>
        <w:t xml:space="preserve"> </w:t>
      </w:r>
      <w:r w:rsidR="00354F1D">
        <w:rPr>
          <w:lang w:eastAsia="en-AU" w:bidi="ar-SA"/>
        </w:rPr>
        <w:t>r</w:t>
      </w:r>
      <w:r w:rsidRPr="007B7BDD">
        <w:rPr>
          <w:lang w:eastAsia="en-AU" w:bidi="ar-SA"/>
        </w:rPr>
        <w:t xml:space="preserve">eference to ‘metric cup’ </w:t>
      </w:r>
      <w:r w:rsidR="002623AE">
        <w:rPr>
          <w:lang w:eastAsia="en-AU" w:bidi="ar-SA"/>
        </w:rPr>
        <w:t>has been</w:t>
      </w:r>
      <w:r w:rsidRPr="007B7BDD">
        <w:rPr>
          <w:lang w:eastAsia="en-AU" w:bidi="ar-SA"/>
        </w:rPr>
        <w:t xml:space="preserve"> deleted.</w:t>
      </w:r>
      <w:r w:rsidR="00F63C2C">
        <w:rPr>
          <w:lang w:eastAsia="en-AU" w:bidi="ar-SA"/>
        </w:rPr>
        <w:br w:type="page"/>
      </w:r>
    </w:p>
    <w:p w14:paraId="1164E90A" w14:textId="12C0A996" w:rsidR="003758F9" w:rsidRDefault="007B7BDD" w:rsidP="007B7BDD">
      <w:r w:rsidRPr="007B7BDD">
        <w:rPr>
          <w:lang w:eastAsia="en-AU" w:bidi="ar-SA"/>
        </w:rPr>
        <w:lastRenderedPageBreak/>
        <w:t xml:space="preserve">Subclause 4(4) of Standard 1.2.8 </w:t>
      </w:r>
      <w:r w:rsidR="004D3026">
        <w:rPr>
          <w:lang w:eastAsia="en-AU" w:bidi="ar-SA"/>
        </w:rPr>
        <w:t>in the current Code</w:t>
      </w:r>
      <w:r w:rsidRPr="007B7BDD">
        <w:rPr>
          <w:lang w:eastAsia="en-AU" w:bidi="ar-SA"/>
        </w:rPr>
        <w:t xml:space="preserve"> indicates that food in small packages must comply with clause 8 but does not mention clause 8A, which also applies to food in small packages. Reference to clause 8A </w:t>
      </w:r>
      <w:r w:rsidR="002623AE">
        <w:rPr>
          <w:lang w:eastAsia="en-AU" w:bidi="ar-SA"/>
        </w:rPr>
        <w:t>has been</w:t>
      </w:r>
      <w:r w:rsidRPr="007B7BDD">
        <w:rPr>
          <w:lang w:eastAsia="en-AU" w:bidi="ar-SA"/>
        </w:rPr>
        <w:t xml:space="preserve"> added</w:t>
      </w:r>
      <w:r w:rsidRPr="00C66494">
        <w:rPr>
          <w:lang w:eastAsia="en-AU" w:bidi="ar-SA"/>
        </w:rPr>
        <w:t xml:space="preserve">. </w:t>
      </w:r>
      <w:r w:rsidR="00E85E50" w:rsidRPr="00C66494">
        <w:t>No amendment is needed for the revised Code.</w:t>
      </w:r>
    </w:p>
    <w:p w14:paraId="0667DB27" w14:textId="77777777" w:rsidR="00E85E50" w:rsidRDefault="00E85E50" w:rsidP="007B7BDD">
      <w:pPr>
        <w:rPr>
          <w:lang w:eastAsia="en-AU" w:bidi="ar-SA"/>
        </w:rPr>
      </w:pPr>
    </w:p>
    <w:p w14:paraId="674CD196" w14:textId="244B8273" w:rsidR="003758F9" w:rsidRPr="007B7BDD" w:rsidRDefault="003758F9" w:rsidP="007B7BDD">
      <w:pPr>
        <w:rPr>
          <w:lang w:eastAsia="en-AU" w:bidi="ar-SA"/>
        </w:rPr>
      </w:pPr>
      <w:r>
        <w:rPr>
          <w:lang w:eastAsia="en-AU" w:bidi="ar-SA"/>
        </w:rPr>
        <w:t>Submitters were generally supportive of these amendments</w:t>
      </w:r>
      <w:r w:rsidR="00354F1D">
        <w:rPr>
          <w:lang w:eastAsia="en-AU" w:bidi="ar-SA"/>
        </w:rPr>
        <w:t>. H</w:t>
      </w:r>
      <w:r w:rsidR="005C2401">
        <w:rPr>
          <w:lang w:eastAsia="en-AU" w:bidi="ar-SA"/>
        </w:rPr>
        <w:t>owever</w:t>
      </w:r>
      <w:r w:rsidR="00354F1D">
        <w:rPr>
          <w:lang w:eastAsia="en-AU" w:bidi="ar-SA"/>
        </w:rPr>
        <w:t>,</w:t>
      </w:r>
      <w:r w:rsidR="005C2401">
        <w:rPr>
          <w:lang w:eastAsia="en-AU" w:bidi="ar-SA"/>
        </w:rPr>
        <w:t xml:space="preserve"> </w:t>
      </w:r>
      <w:r>
        <w:rPr>
          <w:lang w:eastAsia="en-AU" w:bidi="ar-SA"/>
        </w:rPr>
        <w:t xml:space="preserve">a transition period and </w:t>
      </w:r>
      <w:r w:rsidR="00F150B5">
        <w:t xml:space="preserve">stock-in-trade </w:t>
      </w:r>
      <w:r w:rsidR="005F33F9" w:rsidRPr="004456A2">
        <w:rPr>
          <w:lang w:eastAsia="en-AU" w:bidi="ar-SA"/>
        </w:rPr>
        <w:t>exemption</w:t>
      </w:r>
      <w:r>
        <w:rPr>
          <w:lang w:eastAsia="en-AU" w:bidi="ar-SA"/>
        </w:rPr>
        <w:t xml:space="preserve"> will be provided </w:t>
      </w:r>
      <w:r w:rsidR="005F33F9">
        <w:rPr>
          <w:lang w:eastAsia="en-AU" w:bidi="ar-SA"/>
        </w:rPr>
        <w:t xml:space="preserve">for the amendments </w:t>
      </w:r>
      <w:r>
        <w:rPr>
          <w:lang w:eastAsia="en-AU" w:bidi="ar-SA"/>
        </w:rPr>
        <w:t>due to concerns that some food label changes may be required</w:t>
      </w:r>
      <w:r w:rsidR="005C2401">
        <w:rPr>
          <w:lang w:eastAsia="en-AU" w:bidi="ar-SA"/>
        </w:rPr>
        <w:t>. R</w:t>
      </w:r>
      <w:r>
        <w:rPr>
          <w:lang w:eastAsia="en-AU" w:bidi="ar-SA"/>
        </w:rPr>
        <w:t xml:space="preserve">efer to section 3 for further information.   </w:t>
      </w:r>
    </w:p>
    <w:p w14:paraId="46FA6B88" w14:textId="0AB77CDB" w:rsidR="007B7BDD" w:rsidRPr="007B7BDD" w:rsidRDefault="007B7BDD" w:rsidP="001142C7">
      <w:pPr>
        <w:pStyle w:val="Heading3"/>
      </w:pPr>
      <w:bookmarkStart w:id="74" w:name="_Toc420052988"/>
      <w:bookmarkStart w:id="75" w:name="_Toc428861609"/>
      <w:r w:rsidRPr="007B7BDD">
        <w:t>2.</w:t>
      </w:r>
      <w:r w:rsidR="002623AE">
        <w:t>3</w:t>
      </w:r>
      <w:r w:rsidRPr="007B7BDD">
        <w:t>.5</w:t>
      </w:r>
      <w:r w:rsidRPr="007B7BDD">
        <w:tab/>
        <w:t>Application of clauses about food in small packages to food for infants</w:t>
      </w:r>
      <w:bookmarkEnd w:id="74"/>
      <w:bookmarkEnd w:id="75"/>
    </w:p>
    <w:p w14:paraId="0FFC135B" w14:textId="77777777" w:rsidR="007B7BDD" w:rsidRPr="007B7BDD" w:rsidRDefault="007B7BDD" w:rsidP="007B7BDD">
      <w:r w:rsidRPr="007B7BDD">
        <w:t xml:space="preserve">Food for infants sold in a small package must have a NIP in the prescribed format; there is no exemption as there is for other food in small packages. </w:t>
      </w:r>
    </w:p>
    <w:p w14:paraId="547F4075" w14:textId="77777777" w:rsidR="007B7BDD" w:rsidRPr="007B7BDD" w:rsidRDefault="007B7BDD" w:rsidP="007B7BDD"/>
    <w:p w14:paraId="30D89D66" w14:textId="3FD021D0" w:rsidR="007B7BDD" w:rsidRPr="007B7BDD" w:rsidRDefault="007B7BDD" w:rsidP="007B7BDD">
      <w:r w:rsidRPr="007B7BDD">
        <w:t xml:space="preserve">As a result of amendments to Standard 1.2.8 when Standard 1.2.7 was developed, some of the clauses in Standard 1.2.8 </w:t>
      </w:r>
      <w:r w:rsidR="004D3026">
        <w:t>in the current Code</w:t>
      </w:r>
      <w:r w:rsidRPr="007B7BDD">
        <w:t xml:space="preserve"> relating to food in small packages (subclause 4(4) and clause 8A) were inadvertently applied to food for infants. </w:t>
      </w:r>
    </w:p>
    <w:p w14:paraId="011B242E" w14:textId="77777777" w:rsidR="007B7BDD" w:rsidRPr="007B7BDD" w:rsidRDefault="007B7BDD" w:rsidP="007B7BDD"/>
    <w:p w14:paraId="0947AF30" w14:textId="6556F2D0" w:rsidR="007B7BDD" w:rsidRPr="007B7BDD" w:rsidRDefault="00F15C80" w:rsidP="007B7BDD">
      <w:pPr>
        <w:ind w:right="-428"/>
      </w:pPr>
      <w:r>
        <w:rPr>
          <w:lang w:bidi="ar-SA"/>
        </w:rPr>
        <w:t>Clause</w:t>
      </w:r>
      <w:r w:rsidR="007B7BDD" w:rsidRPr="007B7BDD">
        <w:t xml:space="preserve"> 9 of Standard 2.9.2 – Food for Infants </w:t>
      </w:r>
      <w:r w:rsidR="004D3026">
        <w:t>in the current Code</w:t>
      </w:r>
      <w:r w:rsidR="007B7BDD" w:rsidRPr="007B7BDD">
        <w:t xml:space="preserve">, </w:t>
      </w:r>
      <w:r>
        <w:t>will be</w:t>
      </w:r>
      <w:r w:rsidRPr="007B7BDD">
        <w:t xml:space="preserve"> </w:t>
      </w:r>
      <w:r w:rsidR="007B7BDD" w:rsidRPr="007B7BDD">
        <w:t xml:space="preserve">amended to clarify that the clauses about food in small packages do not apply to food for infants. </w:t>
      </w:r>
      <w:r w:rsidR="003758F9">
        <w:t xml:space="preserve">Submitters were supportive of this amendment. </w:t>
      </w:r>
      <w:r w:rsidR="00CD4366">
        <w:t>No amendment is needed for the revised Code.</w:t>
      </w:r>
    </w:p>
    <w:p w14:paraId="1E1879F1" w14:textId="05A0B182" w:rsidR="007B7BDD" w:rsidRPr="007B7BDD" w:rsidRDefault="007B7BDD" w:rsidP="001142C7">
      <w:pPr>
        <w:pStyle w:val="Heading3"/>
      </w:pPr>
      <w:bookmarkStart w:id="76" w:name="_Toc420052989"/>
      <w:bookmarkStart w:id="77" w:name="_Toc428861610"/>
      <w:r w:rsidRPr="007B7BDD">
        <w:t>2.</w:t>
      </w:r>
      <w:r w:rsidR="002623AE">
        <w:t>3</w:t>
      </w:r>
      <w:r w:rsidRPr="007B7BDD">
        <w:t>.6</w:t>
      </w:r>
      <w:r w:rsidRPr="007B7BDD">
        <w:tab/>
        <w:t>Proposed exemptions from claim requirements for trademarked HSR elements</w:t>
      </w:r>
      <w:bookmarkEnd w:id="76"/>
      <w:bookmarkEnd w:id="77"/>
    </w:p>
    <w:p w14:paraId="2C0AC5B1" w14:textId="2806104D" w:rsidR="007B7BDD" w:rsidRPr="007B7BDD" w:rsidRDefault="007B7BDD" w:rsidP="007B7BDD">
      <w:r w:rsidRPr="007B7BDD">
        <w:rPr>
          <w:lang w:val="en-AU"/>
        </w:rPr>
        <w:t xml:space="preserve">Use of the HSR system is voluntary. As it currently stands, certain elements of the HSR system on food labels and advertisements would constitute nutrition content claims as defined in the Code and therefore trigger claim requirements, including additional nutrition information labelling. </w:t>
      </w:r>
      <w:r w:rsidRPr="007B7BDD">
        <w:t>Use of the HSR system</w:t>
      </w:r>
      <w:r w:rsidRPr="007B7BDD">
        <w:rPr>
          <w:lang w:val="en-AU"/>
        </w:rPr>
        <w:t xml:space="preserve"> therefore has the potential to result in additional labelling requirements and costs for food companies. These additional requirements may lead to reduced voluntary uptake by the food industry. </w:t>
      </w:r>
    </w:p>
    <w:p w14:paraId="344EDCCC" w14:textId="77777777" w:rsidR="007B7BDD" w:rsidRPr="007B7BDD" w:rsidRDefault="007B7BDD" w:rsidP="007B7BDD"/>
    <w:p w14:paraId="507956DC" w14:textId="7016D437" w:rsidR="007B7BDD" w:rsidRPr="007B7BDD" w:rsidRDefault="007B7BDD" w:rsidP="007B7BDD">
      <w:r w:rsidRPr="007B7BDD">
        <w:t xml:space="preserve">FSANZ </w:t>
      </w:r>
      <w:r w:rsidR="00173D10">
        <w:t xml:space="preserve">has approved an </w:t>
      </w:r>
      <w:r w:rsidR="00173D10" w:rsidRPr="007B7BDD">
        <w:t>exempt</w:t>
      </w:r>
      <w:r w:rsidR="00173D10">
        <w:t>ion</w:t>
      </w:r>
      <w:r w:rsidR="00173D10" w:rsidRPr="007B7BDD">
        <w:t xml:space="preserve"> from nutrition content claim requirements, including certain nutrition information labelling requirements, in the Code (see S</w:t>
      </w:r>
      <w:r w:rsidR="00354F1D">
        <w:t>D</w:t>
      </w:r>
      <w:r w:rsidR="00173D10" w:rsidRPr="007B7BDD">
        <w:t>2 for these requirements)</w:t>
      </w:r>
      <w:r w:rsidR="00173D10">
        <w:t xml:space="preserve"> for </w:t>
      </w:r>
      <w:r w:rsidRPr="007B7BDD">
        <w:t>the energy icon and the icons for sodium, saturated fat and sugars, as trademarked</w:t>
      </w:r>
      <w:r w:rsidR="00173D10">
        <w:t>.</w:t>
      </w:r>
      <w:r w:rsidRPr="007B7BDD">
        <w:t xml:space="preserve"> To avoid doubt, the use of these elements of the HSR system will also be exempt from health claim requirements. </w:t>
      </w:r>
    </w:p>
    <w:p w14:paraId="5A0628D3" w14:textId="77777777" w:rsidR="007B7BDD" w:rsidRPr="007B7BDD" w:rsidRDefault="007B7BDD" w:rsidP="007B7BDD"/>
    <w:p w14:paraId="3959024A" w14:textId="100B451E" w:rsidR="007B7BDD" w:rsidRPr="007B7BDD" w:rsidRDefault="007B7BDD" w:rsidP="007B7BDD">
      <w:r w:rsidRPr="007B7BDD">
        <w:rPr>
          <w:lang w:val="en-AU"/>
        </w:rPr>
        <w:t xml:space="preserve">An amendment to the Code to exempt the trademarked elements of the HSR system </w:t>
      </w:r>
      <w:r w:rsidR="005B7413">
        <w:rPr>
          <w:lang w:val="en-AU"/>
        </w:rPr>
        <w:t>will</w:t>
      </w:r>
      <w:r w:rsidRPr="007B7BDD">
        <w:rPr>
          <w:lang w:val="en-AU"/>
        </w:rPr>
        <w:t xml:space="preserve"> remove the need to meet additional claim requirements (including additional nutrition information labelling) when companies voluntarily adopt the HSR system. For example, use of the trademarked sodium nutrient icon (without the ‘low’ descriptor), would not trigger the nutrition content claim requirement to declare potassium in the NIP (which might be costly and a disincentive for industry to adopt the voluntary HSR system).</w:t>
      </w:r>
      <w:r w:rsidRPr="007B7BDD">
        <w:t xml:space="preserve"> </w:t>
      </w:r>
      <w:r w:rsidR="002623AE">
        <w:t xml:space="preserve">The exemption will not affect the </w:t>
      </w:r>
      <w:r w:rsidR="00007372">
        <w:t>current</w:t>
      </w:r>
      <w:r w:rsidR="002623AE">
        <w:t xml:space="preserve"> overarching requirement to label a food with a NIP. </w:t>
      </w:r>
    </w:p>
    <w:p w14:paraId="26B9B058" w14:textId="77777777" w:rsidR="007B7BDD" w:rsidRPr="007B7BDD" w:rsidRDefault="007B7BDD" w:rsidP="007B7BDD">
      <w:pPr>
        <w:rPr>
          <w:lang w:val="en-AU"/>
        </w:rPr>
      </w:pPr>
    </w:p>
    <w:p w14:paraId="1C4E32EE" w14:textId="0BCBBD5C" w:rsidR="007B7BDD" w:rsidRPr="007B7BDD" w:rsidRDefault="007B7BDD" w:rsidP="007B7BDD">
      <w:r w:rsidRPr="007B7BDD">
        <w:t xml:space="preserve">The HSR </w:t>
      </w:r>
      <w:r w:rsidR="00DE3A46">
        <w:t>s</w:t>
      </w:r>
      <w:r w:rsidRPr="007B7BDD">
        <w:t xml:space="preserve">ystem Style Guide recommends that the individual values within each icon should be consistent with values declared in the NIP. </w:t>
      </w:r>
      <w:r w:rsidR="00DD588C">
        <w:t xml:space="preserve">Therefore, these trademarked </w:t>
      </w:r>
      <w:r w:rsidR="00DD588C" w:rsidRPr="00DD588C">
        <w:t xml:space="preserve">elements </w:t>
      </w:r>
      <w:r w:rsidRPr="00DD588C">
        <w:t xml:space="preserve">should not be required to meet claim requirements. This is similar to the </w:t>
      </w:r>
      <w:r w:rsidR="00007372">
        <w:t>current</w:t>
      </w:r>
      <w:r w:rsidRPr="00DD588C">
        <w:t xml:space="preserve"> permissi</w:t>
      </w:r>
      <w:r w:rsidRPr="007B7BDD">
        <w:t>on for %DI information to be presented outside the NIP without it constituting a nutrition content claim</w:t>
      </w:r>
      <w:r w:rsidRPr="00DD588C">
        <w:t>.</w:t>
      </w:r>
    </w:p>
    <w:p w14:paraId="7F04986B" w14:textId="77777777" w:rsidR="007B7BDD" w:rsidRPr="007B7BDD" w:rsidRDefault="007B7BDD" w:rsidP="007B7BDD"/>
    <w:p w14:paraId="6E583768" w14:textId="515AD19A" w:rsidR="007B7BDD" w:rsidRPr="007B7BDD" w:rsidRDefault="005B7413" w:rsidP="007B7BDD">
      <w:r>
        <w:t>A</w:t>
      </w:r>
      <w:r w:rsidRPr="007B7BDD">
        <w:t xml:space="preserve">s indicated in the HSR </w:t>
      </w:r>
      <w:r w:rsidR="00DE3A46">
        <w:t>s</w:t>
      </w:r>
      <w:r w:rsidRPr="007B7BDD">
        <w:t>ystem Style Guide</w:t>
      </w:r>
      <w:r>
        <w:t>,</w:t>
      </w:r>
      <w:r w:rsidRPr="007B7BDD">
        <w:t xml:space="preserve"> </w:t>
      </w:r>
      <w:r w:rsidR="007B7BDD" w:rsidRPr="007B7BDD">
        <w:t xml:space="preserve">HSR elements not trademarked </w:t>
      </w:r>
      <w:r>
        <w:t xml:space="preserve">will </w:t>
      </w:r>
      <w:r w:rsidR="007B7BDD" w:rsidRPr="007B7BDD">
        <w:t>not be exempt</w:t>
      </w:r>
      <w:r>
        <w:t xml:space="preserve"> and therefore will </w:t>
      </w:r>
      <w:r w:rsidR="007B7BDD" w:rsidRPr="007B7BDD">
        <w:t>need to comply with relevant claim requirements in the Code (if any). These elements are:</w:t>
      </w:r>
    </w:p>
    <w:p w14:paraId="49527842" w14:textId="2D885EB7" w:rsidR="00F63C2C" w:rsidRDefault="00F63C2C" w:rsidP="007B7BDD">
      <w:r>
        <w:br w:type="page"/>
      </w:r>
    </w:p>
    <w:p w14:paraId="7BDC4FF8" w14:textId="1F00D261" w:rsidR="007B7BDD" w:rsidRPr="000E6923" w:rsidRDefault="007B7BDD" w:rsidP="00683E18">
      <w:pPr>
        <w:pStyle w:val="FSBullet1"/>
      </w:pPr>
      <w:r w:rsidRPr="000E6923">
        <w:lastRenderedPageBreak/>
        <w:t>‘low’ descriptors used in conjunction with prescribed nutrient icons for saturated fat, sugar</w:t>
      </w:r>
      <w:r w:rsidR="0046106F">
        <w:t>s</w:t>
      </w:r>
      <w:r w:rsidRPr="000E6923">
        <w:t xml:space="preserve"> and sodium (energy is not permitted to carry a descriptor)</w:t>
      </w:r>
    </w:p>
    <w:p w14:paraId="4DF4CEAF" w14:textId="77777777" w:rsidR="007B7BDD" w:rsidRPr="000E6923" w:rsidRDefault="007B7BDD" w:rsidP="00683E18">
      <w:pPr>
        <w:pStyle w:val="FSBullet1"/>
      </w:pPr>
      <w:r w:rsidRPr="000E6923">
        <w:t>‘positive’ nutrient icons, for example dietary fibre, calcium</w:t>
      </w:r>
    </w:p>
    <w:p w14:paraId="43A9F780" w14:textId="77777777" w:rsidR="007B7BDD" w:rsidRPr="000E6923" w:rsidRDefault="007B7BDD" w:rsidP="00683E18">
      <w:pPr>
        <w:pStyle w:val="FSBullet1"/>
      </w:pPr>
      <w:r w:rsidRPr="000E6923">
        <w:t>‘high’ descriptors used in conjunction with ‘positive’ nutrient icons</w:t>
      </w:r>
    </w:p>
    <w:p w14:paraId="6A88C0DD" w14:textId="77777777" w:rsidR="007B7BDD" w:rsidRPr="000E6923" w:rsidRDefault="007B7BDD" w:rsidP="00683E18">
      <w:pPr>
        <w:pStyle w:val="FSBullet1"/>
      </w:pPr>
      <w:r w:rsidRPr="000E6923">
        <w:t>the energy icon, when displayed without the star rating.</w:t>
      </w:r>
    </w:p>
    <w:p w14:paraId="1B5BD68C" w14:textId="77777777" w:rsidR="007B7BDD" w:rsidRPr="007B7BDD" w:rsidRDefault="007B7BDD" w:rsidP="007B7BDD">
      <w:pPr>
        <w:rPr>
          <w:rFonts w:cs="Arial"/>
        </w:rPr>
      </w:pPr>
    </w:p>
    <w:p w14:paraId="6146A824" w14:textId="3818D6CD" w:rsidR="00346CEC" w:rsidRDefault="005C2401" w:rsidP="007B7BDD">
      <w:r>
        <w:t>This approach will</w:t>
      </w:r>
      <w:r w:rsidR="007B7BDD" w:rsidRPr="007B7BDD">
        <w:t xml:space="preserve"> ensure that the intent of Standard 1.2.7 is maintained, claims in the form of HSR icons are not misleading and consistent information is provided to consumers, irrespective of whether the claim is part of the HSR system or separate to this.</w:t>
      </w:r>
    </w:p>
    <w:p w14:paraId="08FF319D" w14:textId="77777777" w:rsidR="00346CEC" w:rsidRDefault="00346CEC" w:rsidP="007B7BDD"/>
    <w:p w14:paraId="639D3B97" w14:textId="5FD6E11C" w:rsidR="00346CEC" w:rsidRDefault="00346CEC" w:rsidP="007B7BDD">
      <w:r>
        <w:t>S</w:t>
      </w:r>
      <w:r w:rsidRPr="00346CEC">
        <w:t xml:space="preserve">ome submitters </w:t>
      </w:r>
      <w:r>
        <w:t xml:space="preserve">requested </w:t>
      </w:r>
      <w:r w:rsidRPr="00346CEC">
        <w:t>broaden</w:t>
      </w:r>
      <w:r>
        <w:t>ing</w:t>
      </w:r>
      <w:r w:rsidRPr="00346CEC">
        <w:t xml:space="preserve"> the exemption to other front-of-pack labelling schemes (e.g. the </w:t>
      </w:r>
      <w:r w:rsidR="005C2401">
        <w:t>Daily Intake Guide (</w:t>
      </w:r>
      <w:r w:rsidRPr="00346CEC">
        <w:t>DIG)</w:t>
      </w:r>
      <w:r w:rsidR="005C2401">
        <w:t>)</w:t>
      </w:r>
      <w:r w:rsidRPr="00346CEC">
        <w:t xml:space="preserve">, </w:t>
      </w:r>
      <w:r>
        <w:t xml:space="preserve">while </w:t>
      </w:r>
      <w:r w:rsidRPr="00346CEC">
        <w:t>other submitters sought to impose additional requirements on those schemes.</w:t>
      </w:r>
      <w:r>
        <w:t xml:space="preserve"> FSANZ has decided to proceed with the draft variations proposed in the call for submissions, noting that further assessment and public consultation would be necessary if the scope of the exemption was to change. T</w:t>
      </w:r>
      <w:r w:rsidRPr="00346CEC">
        <w:t>he Forum agreed that elements of the HSR system should be exempt from Code requirements. Th</w:t>
      </w:r>
      <w:r w:rsidR="0019717A">
        <w:t>e exemption</w:t>
      </w:r>
      <w:r w:rsidRPr="00346CEC">
        <w:t xml:space="preserve"> implements the Forum decision and is intended to support voluntary uptake of the HSR system. </w:t>
      </w:r>
      <w:r w:rsidR="007B7BDD" w:rsidRPr="007B7BDD">
        <w:t xml:space="preserve">  </w:t>
      </w:r>
    </w:p>
    <w:p w14:paraId="5E032F96" w14:textId="77777777" w:rsidR="002C1A3B" w:rsidRPr="008C301D" w:rsidRDefault="002C1A3B" w:rsidP="005B06CC">
      <w:pPr>
        <w:pStyle w:val="FSCh2Part"/>
      </w:pPr>
      <w:bookmarkStart w:id="78" w:name="_Toc428369905"/>
      <w:bookmarkStart w:id="79" w:name="_Toc428861611"/>
      <w:r>
        <w:t>2</w:t>
      </w:r>
      <w:r w:rsidRPr="008C301D">
        <w:t>.</w:t>
      </w:r>
      <w:r>
        <w:t>4</w:t>
      </w:r>
      <w:r w:rsidRPr="008C301D">
        <w:tab/>
        <w:t>Risk communication</w:t>
      </w:r>
      <w:bookmarkEnd w:id="65"/>
      <w:bookmarkEnd w:id="66"/>
      <w:bookmarkEnd w:id="78"/>
      <w:bookmarkEnd w:id="79"/>
      <w:r w:rsidRPr="008C301D">
        <w:t xml:space="preserve"> </w:t>
      </w:r>
    </w:p>
    <w:p w14:paraId="0BE69435" w14:textId="77777777" w:rsidR="00683E18" w:rsidRPr="00683E18" w:rsidRDefault="00683E18" w:rsidP="00683E18">
      <w:pPr>
        <w:rPr>
          <w:szCs w:val="22"/>
        </w:rPr>
      </w:pPr>
      <w:r w:rsidRPr="00683E18">
        <w:rPr>
          <w:szCs w:val="22"/>
        </w:rPr>
        <w:t xml:space="preserve">Consultation is a key part of FSANZ’s standards development process. The process by which FSANZ considers Standard matters is open, accountable, consultative and transparent. </w:t>
      </w:r>
    </w:p>
    <w:p w14:paraId="27D069B5" w14:textId="77777777" w:rsidR="00683E18" w:rsidRPr="00683E18" w:rsidRDefault="00683E18" w:rsidP="00683E18">
      <w:pPr>
        <w:rPr>
          <w:szCs w:val="22"/>
        </w:rPr>
      </w:pPr>
    </w:p>
    <w:p w14:paraId="0173FDEE" w14:textId="42DF7A17" w:rsidR="00683E18" w:rsidRPr="00683E18" w:rsidRDefault="00683E18" w:rsidP="00683E18">
      <w:pPr>
        <w:rPr>
          <w:szCs w:val="22"/>
        </w:rPr>
      </w:pPr>
      <w:r w:rsidRPr="00683E18">
        <w:rPr>
          <w:szCs w:val="22"/>
        </w:rPr>
        <w:t xml:space="preserve">Public submissions were sought to obtain the views on the proposed variation to the Code. The call for submissions period was from </w:t>
      </w:r>
      <w:r>
        <w:rPr>
          <w:szCs w:val="22"/>
        </w:rPr>
        <w:t>25 May</w:t>
      </w:r>
      <w:r w:rsidRPr="00683E18">
        <w:rPr>
          <w:szCs w:val="22"/>
        </w:rPr>
        <w:t xml:space="preserve"> 201</w:t>
      </w:r>
      <w:r>
        <w:rPr>
          <w:szCs w:val="22"/>
        </w:rPr>
        <w:t>5</w:t>
      </w:r>
      <w:r w:rsidRPr="00683E18">
        <w:rPr>
          <w:szCs w:val="22"/>
        </w:rPr>
        <w:t xml:space="preserve"> to </w:t>
      </w:r>
      <w:r w:rsidR="00987A55">
        <w:rPr>
          <w:szCs w:val="22"/>
        </w:rPr>
        <w:t>6 July 2015</w:t>
      </w:r>
      <w:r w:rsidRPr="00683E18">
        <w:rPr>
          <w:szCs w:val="22"/>
        </w:rPr>
        <w:t xml:space="preserve">. Submissions were invited via the FSANZ Notification Circular, media release and through FSANZ’s social media tools and Food Standards News. Subscribers and interested parties were also notified via email. </w:t>
      </w:r>
    </w:p>
    <w:p w14:paraId="59E13747" w14:textId="77777777" w:rsidR="00683E18" w:rsidRPr="00683E18" w:rsidRDefault="00683E18" w:rsidP="00683E18">
      <w:pPr>
        <w:rPr>
          <w:szCs w:val="22"/>
        </w:rPr>
      </w:pPr>
    </w:p>
    <w:p w14:paraId="301271E4" w14:textId="77777777" w:rsidR="00683E18" w:rsidRPr="00683E18" w:rsidRDefault="00683E18" w:rsidP="00683E18">
      <w:pPr>
        <w:rPr>
          <w:szCs w:val="22"/>
        </w:rPr>
      </w:pPr>
      <w:r w:rsidRPr="00683E18">
        <w:rPr>
          <w:szCs w:val="22"/>
        </w:rPr>
        <w:t>FSANZ acknowledges the time taken by individuals and organisations to make submissions on this Proposal.</w:t>
      </w:r>
    </w:p>
    <w:p w14:paraId="4EA807A0" w14:textId="77777777" w:rsidR="00683E18" w:rsidRPr="00683E18" w:rsidRDefault="00683E18" w:rsidP="00683E18">
      <w:pPr>
        <w:rPr>
          <w:szCs w:val="22"/>
        </w:rPr>
      </w:pPr>
    </w:p>
    <w:p w14:paraId="08DBAF55" w14:textId="75B7AD05" w:rsidR="00683E18" w:rsidRDefault="00683E18" w:rsidP="00683E18">
      <w:pPr>
        <w:rPr>
          <w:szCs w:val="22"/>
        </w:rPr>
      </w:pPr>
      <w:r w:rsidRPr="00683E18">
        <w:rPr>
          <w:szCs w:val="22"/>
        </w:rPr>
        <w:t xml:space="preserve">A total of </w:t>
      </w:r>
      <w:r w:rsidR="00987A55">
        <w:rPr>
          <w:szCs w:val="22"/>
        </w:rPr>
        <w:t>1</w:t>
      </w:r>
      <w:r w:rsidRPr="00683E18">
        <w:rPr>
          <w:szCs w:val="22"/>
        </w:rPr>
        <w:t xml:space="preserve">3 submissions were received. Every submission was considered by the FSANZ Board. All comments are valued and contribute to the rigour of our assessment. A summary of the submissions and the responses to these are provided in Table </w:t>
      </w:r>
      <w:r w:rsidR="00F429CA">
        <w:rPr>
          <w:szCs w:val="22"/>
        </w:rPr>
        <w:t>2</w:t>
      </w:r>
      <w:r w:rsidRPr="00683E18">
        <w:rPr>
          <w:szCs w:val="22"/>
        </w:rPr>
        <w:t xml:space="preserve"> above.</w:t>
      </w:r>
    </w:p>
    <w:p w14:paraId="50734CBC" w14:textId="77777777" w:rsidR="002C1A3B" w:rsidRPr="002C1A3B" w:rsidRDefault="002C1A3B" w:rsidP="005B06CC">
      <w:pPr>
        <w:pStyle w:val="FSCh2Part"/>
      </w:pPr>
      <w:bookmarkStart w:id="80" w:name="_Toc370223477"/>
      <w:bookmarkStart w:id="81" w:name="_Toc370225392"/>
      <w:bookmarkStart w:id="82" w:name="_Toc428369906"/>
      <w:bookmarkStart w:id="83" w:name="_Toc428861612"/>
      <w:bookmarkStart w:id="84" w:name="_Toc309291816"/>
      <w:bookmarkStart w:id="85" w:name="_Toc300933448"/>
      <w:bookmarkStart w:id="86" w:name="_Toc300933577"/>
      <w:bookmarkStart w:id="87" w:name="_Toc301535601"/>
      <w:bookmarkStart w:id="88" w:name="_Toc309385464"/>
      <w:bookmarkStart w:id="89" w:name="_Toc175381456"/>
      <w:bookmarkEnd w:id="33"/>
      <w:bookmarkEnd w:id="34"/>
      <w:bookmarkEnd w:id="35"/>
      <w:bookmarkEnd w:id="36"/>
      <w:bookmarkEnd w:id="37"/>
      <w:bookmarkEnd w:id="38"/>
      <w:bookmarkEnd w:id="67"/>
      <w:r w:rsidRPr="002C1A3B">
        <w:t>2.5</w:t>
      </w:r>
      <w:r w:rsidRPr="002C1A3B">
        <w:tab/>
        <w:t>FSANZ Act assessment requirements</w:t>
      </w:r>
      <w:bookmarkEnd w:id="80"/>
      <w:bookmarkEnd w:id="81"/>
      <w:bookmarkEnd w:id="82"/>
      <w:bookmarkEnd w:id="83"/>
    </w:p>
    <w:p w14:paraId="7253971E" w14:textId="50B173E5" w:rsidR="002C1A3B" w:rsidRPr="00987A55" w:rsidRDefault="002C1A3B" w:rsidP="001142C7">
      <w:pPr>
        <w:pStyle w:val="Heading3"/>
      </w:pPr>
      <w:bookmarkStart w:id="90" w:name="_Toc370223478"/>
      <w:bookmarkStart w:id="91" w:name="_Toc370225393"/>
      <w:bookmarkStart w:id="92" w:name="_Toc428369907"/>
      <w:bookmarkStart w:id="93" w:name="_Toc428861613"/>
      <w:bookmarkEnd w:id="84"/>
      <w:bookmarkEnd w:id="85"/>
      <w:bookmarkEnd w:id="86"/>
      <w:bookmarkEnd w:id="87"/>
      <w:bookmarkEnd w:id="88"/>
      <w:r w:rsidRPr="002C1A3B">
        <w:t>2.5.1</w:t>
      </w:r>
      <w:r w:rsidRPr="002C1A3B">
        <w:tab/>
      </w:r>
      <w:r w:rsidRPr="00987A55">
        <w:t>Section 59</w:t>
      </w:r>
      <w:bookmarkEnd w:id="90"/>
      <w:bookmarkEnd w:id="91"/>
      <w:bookmarkEnd w:id="92"/>
      <w:bookmarkEnd w:id="93"/>
    </w:p>
    <w:p w14:paraId="0BD95D67" w14:textId="77777777" w:rsidR="002C1A3B" w:rsidRPr="002C1A3B" w:rsidRDefault="002C1A3B" w:rsidP="001142C7">
      <w:pPr>
        <w:pStyle w:val="Heading4"/>
      </w:pPr>
      <w:r w:rsidRPr="002C1A3B">
        <w:t>2.5.1.1</w:t>
      </w:r>
      <w:r w:rsidRPr="002C1A3B">
        <w:tab/>
        <w:t>Cost benefit analysis</w:t>
      </w:r>
    </w:p>
    <w:p w14:paraId="10D77371" w14:textId="220B54FE" w:rsidR="00987A55" w:rsidRPr="00987A55" w:rsidRDefault="00987A55" w:rsidP="00987A55">
      <w:r w:rsidRPr="00987A55">
        <w:t xml:space="preserve">The Office of Best Practice Regulation (OBPR) advised FSANZ that the Proposal </w:t>
      </w:r>
      <w:r w:rsidR="00354F1D">
        <w:t>wa</w:t>
      </w:r>
      <w:r w:rsidRPr="00987A55">
        <w:t xml:space="preserve">s likely to have a minor regulatory impact on business, community organisations or individuals and as such, a COAG </w:t>
      </w:r>
      <w:r w:rsidR="00354F1D" w:rsidRPr="00987A55">
        <w:t>Regulat</w:t>
      </w:r>
      <w:r w:rsidR="00354F1D">
        <w:t>ion</w:t>
      </w:r>
      <w:r w:rsidR="00354F1D" w:rsidRPr="00987A55">
        <w:t xml:space="preserve"> </w:t>
      </w:r>
      <w:r w:rsidRPr="00987A55">
        <w:t xml:space="preserve">Impact Statement </w:t>
      </w:r>
      <w:r w:rsidR="00354F1D">
        <w:t>wa</w:t>
      </w:r>
      <w:r w:rsidRPr="00987A55">
        <w:t>s not required to be prepared (OBPR ID: 18893).</w:t>
      </w:r>
    </w:p>
    <w:p w14:paraId="6DE9E7BF" w14:textId="0C0AED7D" w:rsidR="000834A6" w:rsidRPr="00987A55" w:rsidRDefault="000834A6" w:rsidP="00987A55"/>
    <w:p w14:paraId="70ADD576" w14:textId="77777777" w:rsidR="00987A55" w:rsidRPr="00987A55" w:rsidRDefault="00987A55" w:rsidP="00987A55">
      <w:r w:rsidRPr="00987A55">
        <w:t>Affected parties include the following:</w:t>
      </w:r>
    </w:p>
    <w:p w14:paraId="25FB6137" w14:textId="091CD444" w:rsidR="001E48EA" w:rsidRDefault="001E48EA" w:rsidP="00987A55"/>
    <w:p w14:paraId="15B96BBC" w14:textId="77777777" w:rsidR="00F63C2C" w:rsidRDefault="00987A55" w:rsidP="00987A55">
      <w:r w:rsidRPr="00987A55">
        <w:rPr>
          <w:b/>
        </w:rPr>
        <w:t>Industry:</w:t>
      </w:r>
      <w:r w:rsidRPr="00987A55">
        <w:t xml:space="preserve"> Req</w:t>
      </w:r>
      <w:r w:rsidR="00E85E50">
        <w:t xml:space="preserve">uirements in Standard 1.2.7, </w:t>
      </w:r>
      <w:r w:rsidRPr="00987A55">
        <w:t>associated standards</w:t>
      </w:r>
      <w:r w:rsidR="00E85E50">
        <w:t xml:space="preserve"> and Schedules in both the current and revised Codes</w:t>
      </w:r>
      <w:r w:rsidRPr="00987A55">
        <w:t xml:space="preserve"> will be clearer, more consistent and reflect the policy intent. Food businesses making nutrition content claims and health claims will benefit. </w:t>
      </w:r>
      <w:r w:rsidR="00F63C2C">
        <w:br w:type="page"/>
      </w:r>
    </w:p>
    <w:p w14:paraId="37CD36B3" w14:textId="00CB639F" w:rsidR="00987A55" w:rsidRPr="00987A55" w:rsidRDefault="00987A55" w:rsidP="00987A55">
      <w:r w:rsidRPr="00987A55">
        <w:lastRenderedPageBreak/>
        <w:t xml:space="preserve">In addition, those companies voluntarily adopting the trademarked elements of the HSR system will not be disadvantaged by additional compliance costs. </w:t>
      </w:r>
    </w:p>
    <w:p w14:paraId="56B841F3" w14:textId="77777777" w:rsidR="00987A55" w:rsidRPr="00987A55" w:rsidRDefault="00987A55" w:rsidP="00987A55"/>
    <w:p w14:paraId="53926B0E" w14:textId="60DA66F6" w:rsidR="006A07B8" w:rsidRDefault="00987A55" w:rsidP="00B12547">
      <w:r w:rsidRPr="00987A55">
        <w:t>The am</w:t>
      </w:r>
      <w:r w:rsidR="00E85E50">
        <w:t>endments to Standard 1.2.7 and associated standards and S</w:t>
      </w:r>
      <w:r w:rsidR="0075369E">
        <w:t>chedules</w:t>
      </w:r>
      <w:r w:rsidR="00E85E50">
        <w:t xml:space="preserve"> of the current and revised Codes</w:t>
      </w:r>
      <w:r w:rsidR="0075369E">
        <w:t xml:space="preserve"> </w:t>
      </w:r>
      <w:r w:rsidRPr="00987A55">
        <w:t>relating to nutrition labelling</w:t>
      </w:r>
      <w:r w:rsidR="00E85E50">
        <w:t>,</w:t>
      </w:r>
      <w:r w:rsidRPr="00987A55">
        <w:t xml:space="preserve"> will not </w:t>
      </w:r>
      <w:r w:rsidR="00053E26">
        <w:t>apply</w:t>
      </w:r>
      <w:r w:rsidRPr="00987A55">
        <w:t xml:space="preserve"> to all businesses; only those who make certain nutrition content claims or health claims about a food and in some cases, only if that food is in a small package. </w:t>
      </w:r>
      <w:r>
        <w:t>I</w:t>
      </w:r>
      <w:r w:rsidRPr="00987A55">
        <w:t xml:space="preserve">t </w:t>
      </w:r>
      <w:r>
        <w:t>was n</w:t>
      </w:r>
      <w:r w:rsidRPr="00987A55">
        <w:t xml:space="preserve">ot anticipated </w:t>
      </w:r>
      <w:r>
        <w:t xml:space="preserve">by FSANZ </w:t>
      </w:r>
      <w:r w:rsidRPr="00987A55">
        <w:t>that the proposed amendments w</w:t>
      </w:r>
      <w:r>
        <w:t>ould</w:t>
      </w:r>
      <w:r w:rsidRPr="00987A55">
        <w:t xml:space="preserve"> result in additional costs of re-labelling</w:t>
      </w:r>
      <w:r>
        <w:t>.</w:t>
      </w:r>
      <w:r w:rsidRPr="00987A55">
        <w:t xml:space="preserve"> FSANZ </w:t>
      </w:r>
      <w:r>
        <w:t xml:space="preserve">sought </w:t>
      </w:r>
      <w:r w:rsidRPr="00987A55">
        <w:t>information from food businesses about any impact and expected costs through th</w:t>
      </w:r>
      <w:r>
        <w:t xml:space="preserve">e </w:t>
      </w:r>
      <w:r w:rsidR="00354F1D">
        <w:t>c</w:t>
      </w:r>
      <w:r>
        <w:t xml:space="preserve">all for </w:t>
      </w:r>
      <w:r w:rsidR="00354F1D">
        <w:t>s</w:t>
      </w:r>
      <w:r>
        <w:t>ubmissions. One food business indicated that there would be no impact to them from any of the proposed variations. Two</w:t>
      </w:r>
      <w:r w:rsidR="00E76861">
        <w:t xml:space="preserve"> submitters stated that </w:t>
      </w:r>
      <w:r w:rsidR="004E58A2">
        <w:t>the proposed draft variation</w:t>
      </w:r>
      <w:r w:rsidR="00E76861" w:rsidRPr="00E76861">
        <w:t xml:space="preserve"> </w:t>
      </w:r>
      <w:r w:rsidR="00354F1D" w:rsidRPr="00E76861">
        <w:t>m</w:t>
      </w:r>
      <w:r w:rsidR="00354F1D">
        <w:t>ight</w:t>
      </w:r>
      <w:r w:rsidR="00354F1D" w:rsidRPr="00E76861">
        <w:t xml:space="preserve"> </w:t>
      </w:r>
      <w:r w:rsidR="00E76861" w:rsidRPr="00E76861">
        <w:t>result in label changes</w:t>
      </w:r>
      <w:r w:rsidR="00E76861" w:rsidRPr="00987A55">
        <w:t xml:space="preserve"> </w:t>
      </w:r>
      <w:r w:rsidR="00E76861">
        <w:t>and therefore a t</w:t>
      </w:r>
      <w:r w:rsidR="00E76861" w:rsidRPr="00987A55">
        <w:t>ransition</w:t>
      </w:r>
      <w:r w:rsidR="00E76861" w:rsidRPr="00E76861">
        <w:t xml:space="preserve"> period and </w:t>
      </w:r>
      <w:r w:rsidR="00F150B5">
        <w:t>stock-in-trade</w:t>
      </w:r>
      <w:r w:rsidR="00E76861">
        <w:t xml:space="preserve"> </w:t>
      </w:r>
      <w:r w:rsidR="004E58A2" w:rsidRPr="004456A2">
        <w:t>exemption</w:t>
      </w:r>
      <w:r w:rsidR="004E58A2">
        <w:t xml:space="preserve"> </w:t>
      </w:r>
      <w:r w:rsidR="00E76861">
        <w:t>was</w:t>
      </w:r>
      <w:r w:rsidR="00E76861" w:rsidRPr="00E76861">
        <w:t xml:space="preserve"> requested</w:t>
      </w:r>
      <w:r w:rsidR="00E76861">
        <w:t>. These submitters did not provide evidence or examples of the label changes that would be required</w:t>
      </w:r>
      <w:r w:rsidR="006A07B8">
        <w:t xml:space="preserve">. </w:t>
      </w:r>
      <w:r w:rsidR="0075266D">
        <w:t>However, given</w:t>
      </w:r>
      <w:r w:rsidR="006A07B8">
        <w:t xml:space="preserve"> these concerns</w:t>
      </w:r>
      <w:r w:rsidR="00354F1D">
        <w:t xml:space="preserve">, </w:t>
      </w:r>
      <w:r w:rsidR="006A07B8">
        <w:t xml:space="preserve">FSANZ has </w:t>
      </w:r>
      <w:r w:rsidR="001A2075">
        <w:t xml:space="preserve">provided a transition </w:t>
      </w:r>
      <w:r w:rsidR="000174F5">
        <w:t xml:space="preserve">period </w:t>
      </w:r>
      <w:r w:rsidR="000174F5" w:rsidRPr="006A07B8">
        <w:t>followed</w:t>
      </w:r>
      <w:r w:rsidR="006A07B8" w:rsidRPr="006A07B8">
        <w:t xml:space="preserve"> by a 12</w:t>
      </w:r>
      <w:r w:rsidR="00354F1D">
        <w:t>-</w:t>
      </w:r>
      <w:r w:rsidR="006A07B8" w:rsidRPr="006A07B8">
        <w:t xml:space="preserve">month </w:t>
      </w:r>
      <w:r w:rsidR="00F150B5">
        <w:t xml:space="preserve">stock-in-trade </w:t>
      </w:r>
      <w:r w:rsidR="004456A2">
        <w:t>exemption</w:t>
      </w:r>
      <w:r w:rsidR="006A07B8">
        <w:t>. See section 3 for further information.</w:t>
      </w:r>
    </w:p>
    <w:p w14:paraId="35EF06B5" w14:textId="77777777" w:rsidR="006A07B8" w:rsidRDefault="006A07B8" w:rsidP="00B12547"/>
    <w:p w14:paraId="2FF9DA33" w14:textId="0998A335" w:rsidR="00B12547" w:rsidRDefault="00B12547" w:rsidP="00B12547">
      <w:r w:rsidRPr="007B5933">
        <w:t xml:space="preserve">The AFGC </w:t>
      </w:r>
      <w:r w:rsidR="0075266D" w:rsidRPr="007B5933">
        <w:t xml:space="preserve">claimed </w:t>
      </w:r>
      <w:r w:rsidRPr="007B5933">
        <w:t xml:space="preserve">that requiring certain %DI declarations in NIPs as a pre-condition for stating %DI values outside the NIP </w:t>
      </w:r>
      <w:r w:rsidR="0075266D" w:rsidRPr="007B5933">
        <w:t>would constitute</w:t>
      </w:r>
      <w:r w:rsidRPr="007B5933">
        <w:t xml:space="preserve"> </w:t>
      </w:r>
      <w:r w:rsidR="006A07B8" w:rsidRPr="007B5933">
        <w:t>further</w:t>
      </w:r>
      <w:r w:rsidRPr="007B5933">
        <w:t xml:space="preserve"> regulation and rende</w:t>
      </w:r>
      <w:r w:rsidR="003B76E0" w:rsidRPr="007B5933">
        <w:t>r some existing labels illegal</w:t>
      </w:r>
      <w:r w:rsidR="006A07B8" w:rsidRPr="007B5933">
        <w:t>.</w:t>
      </w:r>
      <w:r w:rsidR="003B76E0" w:rsidRPr="007B5933">
        <w:t xml:space="preserve"> FSANZ has therefore omitted the draft variation</w:t>
      </w:r>
      <w:r w:rsidR="0075266D" w:rsidRPr="007B5933">
        <w:t>s</w:t>
      </w:r>
      <w:r w:rsidR="003B76E0" w:rsidRPr="007B5933">
        <w:t xml:space="preserve"> relating to %DI declarations</w:t>
      </w:r>
      <w:r w:rsidR="0075266D" w:rsidRPr="007B5933">
        <w:t>. C</w:t>
      </w:r>
      <w:r w:rsidR="003B76E0" w:rsidRPr="007B5933">
        <w:t xml:space="preserve">lause 7B </w:t>
      </w:r>
      <w:r w:rsidR="004D3026">
        <w:t>in the current Code</w:t>
      </w:r>
      <w:r w:rsidR="007B5933">
        <w:t xml:space="preserve"> (</w:t>
      </w:r>
      <w:r w:rsidR="00D0494A" w:rsidRPr="007B5933">
        <w:t>section 1.2.8—</w:t>
      </w:r>
      <w:r w:rsidR="003B76E0" w:rsidRPr="007B5933">
        <w:t xml:space="preserve">10 </w:t>
      </w:r>
      <w:r w:rsidR="004D3026">
        <w:t>in the revised Code</w:t>
      </w:r>
      <w:r w:rsidR="007B5933">
        <w:t>)</w:t>
      </w:r>
      <w:r w:rsidR="0075266D" w:rsidRPr="007B5933">
        <w:t xml:space="preserve"> will remain unchanged</w:t>
      </w:r>
      <w:r w:rsidR="00D0494A" w:rsidRPr="007B5933">
        <w:t xml:space="preserve">. </w:t>
      </w:r>
      <w:r w:rsidR="003B76E0" w:rsidRPr="007B5933">
        <w:t xml:space="preserve">Refer to section </w:t>
      </w:r>
      <w:r w:rsidR="005B7413" w:rsidRPr="007B5933">
        <w:t>2.3.3</w:t>
      </w:r>
      <w:r w:rsidR="003B76E0" w:rsidRPr="007B5933">
        <w:t xml:space="preserve"> for further information.  </w:t>
      </w:r>
    </w:p>
    <w:p w14:paraId="424E7EBC" w14:textId="77777777" w:rsidR="006A07B8" w:rsidRPr="00987A55" w:rsidRDefault="006A07B8" w:rsidP="006A07B8"/>
    <w:p w14:paraId="1F3495FE" w14:textId="56D8D6F4" w:rsidR="00B12547" w:rsidRDefault="006A07B8" w:rsidP="00B12547">
      <w:r w:rsidRPr="00987A55">
        <w:rPr>
          <w:b/>
        </w:rPr>
        <w:t>Government:</w:t>
      </w:r>
      <w:r w:rsidRPr="00987A55">
        <w:t xml:space="preserve"> Enforcement agencies will likely benefit from the Proposal. The increased clarity and consistency in the Code’s requirements will make it easier to interpret the Code and ensure business compliance. The amendment making certain elements of the voluntary HSR system exempt from claim requirements reduces enforcement activity that would potentially have been needed. No additional costs to government have been identified. </w:t>
      </w:r>
      <w:r>
        <w:t xml:space="preserve">FSANZ has consulted with enforcement agencies about providing a transition period for </w:t>
      </w:r>
      <w:r w:rsidR="00354F1D">
        <w:t xml:space="preserve">the </w:t>
      </w:r>
      <w:r>
        <w:t xml:space="preserve">amendments and </w:t>
      </w:r>
      <w:r w:rsidR="00173D10">
        <w:t xml:space="preserve">has concluded that </w:t>
      </w:r>
      <w:r>
        <w:t xml:space="preserve">this will not impact on enforcement activities.   </w:t>
      </w:r>
    </w:p>
    <w:p w14:paraId="6AB40230" w14:textId="77777777" w:rsidR="00987A55" w:rsidRPr="00987A55" w:rsidRDefault="00987A55" w:rsidP="00987A55"/>
    <w:p w14:paraId="16C4D9CF" w14:textId="76B1F458" w:rsidR="00987A55" w:rsidRPr="00987A55" w:rsidRDefault="00987A55" w:rsidP="00987A55">
      <w:r w:rsidRPr="00987A55">
        <w:rPr>
          <w:b/>
        </w:rPr>
        <w:t>Consumers:</w:t>
      </w:r>
      <w:r w:rsidRPr="00987A55">
        <w:t xml:space="preserve"> </w:t>
      </w:r>
      <w:r w:rsidR="004E58A2">
        <w:t>The exemption</w:t>
      </w:r>
      <w:r w:rsidRPr="00987A55">
        <w:t xml:space="preserve"> for the trademarked elements of the HSR system </w:t>
      </w:r>
      <w:r w:rsidR="004E58A2">
        <w:t>will</w:t>
      </w:r>
      <w:r w:rsidRPr="00987A55">
        <w:t xml:space="preserve"> support </w:t>
      </w:r>
      <w:r w:rsidR="00300459">
        <w:t xml:space="preserve">the </w:t>
      </w:r>
      <w:r w:rsidRPr="00987A55">
        <w:t xml:space="preserve">voluntary adoption of the system. Provision of key information </w:t>
      </w:r>
      <w:r w:rsidR="00EF28D0">
        <w:t xml:space="preserve">in a simple interpretive format </w:t>
      </w:r>
      <w:r w:rsidRPr="00987A55">
        <w:t xml:space="preserve">on front-of-pack that allows at-a-glance comparisons of foods may assist consumers in making healthier food choices. </w:t>
      </w:r>
    </w:p>
    <w:p w14:paraId="18E4A308" w14:textId="77777777" w:rsidR="00987A55" w:rsidRDefault="00987A55" w:rsidP="00987A55"/>
    <w:p w14:paraId="715246ED" w14:textId="3EA6A8BD" w:rsidR="00393F17" w:rsidRDefault="00393F17" w:rsidP="00393F17">
      <w:r w:rsidRPr="00987A55">
        <w:t xml:space="preserve">Any impact of the remainder of the </w:t>
      </w:r>
      <w:r w:rsidR="00CB5D78">
        <w:t xml:space="preserve">approved </w:t>
      </w:r>
      <w:r w:rsidRPr="00987A55">
        <w:t xml:space="preserve">amendments on consumers is likely to be beneficial, as nutrition labelling requirements will be more consistent across the various types of claims and with the requirements for NIPs in general. </w:t>
      </w:r>
    </w:p>
    <w:p w14:paraId="2738A85D" w14:textId="0E289385" w:rsidR="002C1A3B" w:rsidRPr="002C1A3B" w:rsidRDefault="002C1A3B" w:rsidP="00E76861">
      <w:pPr>
        <w:pStyle w:val="Heading4"/>
      </w:pPr>
      <w:r w:rsidRPr="002C1A3B">
        <w:t>2.5.1.2</w:t>
      </w:r>
      <w:r w:rsidRPr="002C1A3B">
        <w:tab/>
        <w:t>Other measures</w:t>
      </w:r>
    </w:p>
    <w:p w14:paraId="439FCE54" w14:textId="6700FBB7" w:rsidR="002C1A3B" w:rsidRPr="00E76861" w:rsidRDefault="002C1A3B" w:rsidP="002C1A3B">
      <w:r w:rsidRPr="002C1A3B">
        <w:t xml:space="preserve">There are no other measures (whether available to FSANZ or not) that would be more cost-effective than a food regulatory measure developed or varied as a result </w:t>
      </w:r>
      <w:r w:rsidRPr="00E76861">
        <w:t>of the Proposal.</w:t>
      </w:r>
    </w:p>
    <w:p w14:paraId="64BB3E7C" w14:textId="77777777" w:rsidR="002C1A3B" w:rsidRPr="00E76861" w:rsidRDefault="002C1A3B" w:rsidP="002C1A3B">
      <w:pPr>
        <w:pStyle w:val="Heading4"/>
      </w:pPr>
      <w:r w:rsidRPr="00E76861">
        <w:t>2.5.1.3</w:t>
      </w:r>
      <w:r w:rsidRPr="00E76861">
        <w:tab/>
        <w:t>Any relevant New Zealand standards</w:t>
      </w:r>
    </w:p>
    <w:p w14:paraId="7E59104E" w14:textId="1C34C9F6" w:rsidR="002C1A3B" w:rsidRPr="002C1A3B" w:rsidRDefault="00E76861" w:rsidP="002C1A3B">
      <w:pPr>
        <w:rPr>
          <w:lang w:bidi="ar-SA"/>
        </w:rPr>
      </w:pPr>
      <w:r>
        <w:t xml:space="preserve">The draft variations amend joint Australia New Zealand standards. </w:t>
      </w:r>
      <w:r w:rsidR="002C1A3B" w:rsidRPr="002C1A3B">
        <w:rPr>
          <w:lang w:bidi="ar-SA"/>
        </w:rPr>
        <w:t>There are no relevant New Zealand</w:t>
      </w:r>
      <w:r w:rsidR="004E5ADD">
        <w:rPr>
          <w:lang w:bidi="ar-SA"/>
        </w:rPr>
        <w:t>-</w:t>
      </w:r>
      <w:r>
        <w:rPr>
          <w:lang w:bidi="ar-SA"/>
        </w:rPr>
        <w:t>only s</w:t>
      </w:r>
      <w:r w:rsidR="002C1A3B" w:rsidRPr="002C1A3B">
        <w:rPr>
          <w:lang w:bidi="ar-SA"/>
        </w:rPr>
        <w:t>tandards.</w:t>
      </w:r>
    </w:p>
    <w:p w14:paraId="39D38ACE" w14:textId="77777777" w:rsidR="002C1A3B" w:rsidRPr="002C1A3B" w:rsidRDefault="002C1A3B" w:rsidP="002C1A3B">
      <w:pPr>
        <w:pStyle w:val="Heading4"/>
      </w:pPr>
      <w:r w:rsidRPr="002C1A3B">
        <w:t>2.5.1.4</w:t>
      </w:r>
      <w:r w:rsidRPr="002C1A3B">
        <w:tab/>
        <w:t>Any other relevant matters</w:t>
      </w:r>
    </w:p>
    <w:p w14:paraId="0380CE17" w14:textId="56B79B9C" w:rsidR="00F63C2C" w:rsidRDefault="00617944" w:rsidP="002C1A3B">
      <w:pPr>
        <w:rPr>
          <w:lang w:bidi="ar-SA"/>
        </w:rPr>
      </w:pPr>
      <w:r>
        <w:rPr>
          <w:lang w:bidi="ar-SA"/>
        </w:rPr>
        <w:t xml:space="preserve">See sections 2.5.2 and 2.5.3 below. </w:t>
      </w:r>
      <w:r w:rsidR="00F63C2C">
        <w:rPr>
          <w:lang w:bidi="ar-SA"/>
        </w:rPr>
        <w:br w:type="page"/>
      </w:r>
    </w:p>
    <w:p w14:paraId="7F6F063E" w14:textId="37F46753" w:rsidR="002C1A3B" w:rsidRPr="002C1A3B" w:rsidRDefault="00B26067" w:rsidP="001142C7">
      <w:pPr>
        <w:pStyle w:val="Heading3"/>
      </w:pPr>
      <w:bookmarkStart w:id="94" w:name="_Toc370223479"/>
      <w:bookmarkStart w:id="95" w:name="_Toc370225394"/>
      <w:bookmarkStart w:id="96" w:name="_Toc428369908"/>
      <w:bookmarkStart w:id="97" w:name="_Toc300761897"/>
      <w:bookmarkStart w:id="98" w:name="_Toc300933440"/>
      <w:bookmarkStart w:id="99" w:name="_Toc428861614"/>
      <w:r>
        <w:lastRenderedPageBreak/>
        <w:t>2.5.2</w:t>
      </w:r>
      <w:r w:rsidR="002C1A3B" w:rsidRPr="002C1A3B">
        <w:tab/>
        <w:t>Subsection 18(1)</w:t>
      </w:r>
      <w:bookmarkEnd w:id="94"/>
      <w:bookmarkEnd w:id="95"/>
      <w:bookmarkEnd w:id="96"/>
      <w:bookmarkEnd w:id="97"/>
      <w:bookmarkEnd w:id="98"/>
      <w:bookmarkEnd w:id="99"/>
    </w:p>
    <w:p w14:paraId="614F7A1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10B06FD" w14:textId="77777777" w:rsidR="002C1A3B" w:rsidRPr="002C1A3B" w:rsidRDefault="002C1A3B" w:rsidP="002C1A3B">
      <w:pPr>
        <w:pStyle w:val="Heading4"/>
        <w:rPr>
          <w:lang w:eastAsia="en-AU"/>
        </w:rPr>
      </w:pPr>
      <w:bookmarkStart w:id="100" w:name="_Toc297029117"/>
      <w:bookmarkStart w:id="101" w:name="_Toc300761898"/>
      <w:bookmarkStart w:id="102" w:name="_Toc300933441"/>
      <w:r w:rsidRPr="002C1A3B">
        <w:rPr>
          <w:lang w:eastAsia="en-AU"/>
        </w:rPr>
        <w:t>2.5.2.1</w:t>
      </w:r>
      <w:r w:rsidRPr="002C1A3B">
        <w:rPr>
          <w:lang w:eastAsia="en-AU"/>
        </w:rPr>
        <w:tab/>
        <w:t>Protection of public health and safety</w:t>
      </w:r>
      <w:bookmarkEnd w:id="100"/>
      <w:bookmarkEnd w:id="101"/>
      <w:bookmarkEnd w:id="102"/>
    </w:p>
    <w:p w14:paraId="5F17FAD0" w14:textId="027C8119" w:rsidR="002C1A3B" w:rsidRPr="00E76861" w:rsidRDefault="00E76861" w:rsidP="002C1A3B">
      <w:r w:rsidRPr="00E76861">
        <w:t xml:space="preserve">The </w:t>
      </w:r>
      <w:r w:rsidR="004456A2">
        <w:t>approved amendments</w:t>
      </w:r>
      <w:r w:rsidRPr="00E76861">
        <w:t xml:space="preserve"> are not expected to have an impact on the protection of public health and safety. </w:t>
      </w:r>
    </w:p>
    <w:p w14:paraId="35FDF4C6" w14:textId="77777777" w:rsidR="002C1A3B" w:rsidRPr="002C1A3B" w:rsidRDefault="002C1A3B" w:rsidP="002C1A3B">
      <w:pPr>
        <w:pStyle w:val="Heading4"/>
        <w:rPr>
          <w:lang w:eastAsia="en-AU"/>
        </w:rPr>
      </w:pPr>
      <w:bookmarkStart w:id="103" w:name="_Toc300761899"/>
      <w:bookmarkStart w:id="104" w:name="_Toc300933442"/>
      <w:r w:rsidRPr="002C1A3B">
        <w:rPr>
          <w:lang w:eastAsia="en-AU"/>
        </w:rPr>
        <w:t>2.5.2.2</w:t>
      </w:r>
      <w:r w:rsidRPr="002C1A3B">
        <w:rPr>
          <w:lang w:eastAsia="en-AU"/>
        </w:rPr>
        <w:tab/>
        <w:t>The provision of adequate information relating to food to enable consumers to make informed choices</w:t>
      </w:r>
      <w:bookmarkEnd w:id="103"/>
      <w:bookmarkEnd w:id="104"/>
    </w:p>
    <w:p w14:paraId="46B35F09" w14:textId="1AA424B1" w:rsidR="00823884" w:rsidRPr="00823884" w:rsidRDefault="00823884" w:rsidP="00823884">
      <w:r w:rsidRPr="00823884">
        <w:t xml:space="preserve">A number of the changes are to ensure consistency in the way that prescribed nutrition information is presented to consumers, which may assist with the provision of information to enable informed choice. </w:t>
      </w:r>
    </w:p>
    <w:p w14:paraId="6A51A7DF" w14:textId="77777777" w:rsidR="00823884" w:rsidRPr="00823884" w:rsidRDefault="00823884" w:rsidP="00823884"/>
    <w:p w14:paraId="6AA42964" w14:textId="21BD2828" w:rsidR="002C1A3B" w:rsidRPr="00823884" w:rsidRDefault="004456A2" w:rsidP="00823884">
      <w:r>
        <w:t>The exemption</w:t>
      </w:r>
      <w:r w:rsidR="00823884" w:rsidRPr="00823884">
        <w:t xml:space="preserve"> for the trademarked elements of the HSR system support voluntary adoption of the </w:t>
      </w:r>
      <w:r w:rsidR="006F7265">
        <w:t xml:space="preserve">front-of-pack labelling </w:t>
      </w:r>
      <w:r w:rsidR="00823884" w:rsidRPr="00823884">
        <w:t>system</w:t>
      </w:r>
      <w:r w:rsidR="00602E0A">
        <w:t xml:space="preserve"> that has been agreed by the Forum</w:t>
      </w:r>
      <w:r w:rsidR="00823884" w:rsidRPr="00823884">
        <w:t xml:space="preserve">. Provision of key information </w:t>
      </w:r>
      <w:r w:rsidR="00602E0A">
        <w:t xml:space="preserve">in a simple interpretive format </w:t>
      </w:r>
      <w:r w:rsidR="00823884" w:rsidRPr="00823884">
        <w:t>on front-of-pack allows consumers to make at-a-glance comparisons of foods, which may assist consumers in making healthier food choices.</w:t>
      </w:r>
      <w:r w:rsidR="00602E0A">
        <w:t xml:space="preserve"> </w:t>
      </w:r>
    </w:p>
    <w:p w14:paraId="36D4DCE3" w14:textId="77777777" w:rsidR="002C1A3B" w:rsidRPr="002C1A3B" w:rsidRDefault="002C1A3B" w:rsidP="002C1A3B">
      <w:pPr>
        <w:pStyle w:val="Heading4"/>
        <w:rPr>
          <w:lang w:eastAsia="en-AU"/>
        </w:rPr>
      </w:pPr>
      <w:bookmarkStart w:id="105" w:name="_Toc300761900"/>
      <w:bookmarkStart w:id="106" w:name="_Toc300933443"/>
      <w:r w:rsidRPr="002C1A3B">
        <w:rPr>
          <w:lang w:eastAsia="en-AU"/>
        </w:rPr>
        <w:t>2.5.2.3</w:t>
      </w:r>
      <w:r w:rsidRPr="002C1A3B">
        <w:rPr>
          <w:lang w:eastAsia="en-AU"/>
        </w:rPr>
        <w:tab/>
        <w:t>The prevention of misleading or deceptive conduct</w:t>
      </w:r>
      <w:bookmarkEnd w:id="105"/>
      <w:bookmarkEnd w:id="106"/>
    </w:p>
    <w:p w14:paraId="7A77DD7B" w14:textId="26BB991C" w:rsidR="00823884" w:rsidRPr="00823884" w:rsidRDefault="00823884" w:rsidP="00823884">
      <w:r w:rsidRPr="00823884">
        <w:t xml:space="preserve">A number of </w:t>
      </w:r>
      <w:r w:rsidR="00300459">
        <w:t>current</w:t>
      </w:r>
      <w:r w:rsidRPr="00823884">
        <w:t xml:space="preserve"> requirements in Standards 1.2.7 </w:t>
      </w:r>
      <w:r w:rsidR="008951BC">
        <w:t xml:space="preserve">and associated </w:t>
      </w:r>
      <w:r w:rsidR="00E85E50">
        <w:t xml:space="preserve">standards </w:t>
      </w:r>
      <w:r w:rsidRPr="00823884">
        <w:t xml:space="preserve">were developed to mitigate the possibility of consumers being misled by nutrition content claims and health claims. The </w:t>
      </w:r>
      <w:r w:rsidR="004456A2">
        <w:t xml:space="preserve">approved </w:t>
      </w:r>
      <w:r w:rsidRPr="00823884">
        <w:t xml:space="preserve">amendments provide clarity for some of these requirements and are therefore consistent with this objective. </w:t>
      </w:r>
    </w:p>
    <w:p w14:paraId="63789E55" w14:textId="77777777" w:rsidR="00823884" w:rsidRPr="00823884" w:rsidRDefault="00823884" w:rsidP="00823884"/>
    <w:p w14:paraId="255F1D3D" w14:textId="30ABD370" w:rsidR="00823884" w:rsidRPr="00823884" w:rsidRDefault="00823884" w:rsidP="00823884">
      <w:r w:rsidRPr="00016B73">
        <w:t xml:space="preserve">FSANZ considers that the exemption for the trademarked elements of the HSR system from claim requirements in the Code does not raise issues in terms of the prevention of misleading or deceptive conduct. This is because the information presented in the trademarked HSR elements on a food label is intended to be </w:t>
      </w:r>
      <w:r w:rsidR="0046106F">
        <w:t xml:space="preserve">consistent with </w:t>
      </w:r>
      <w:r w:rsidRPr="00016B73">
        <w:t xml:space="preserve">the mandatory nutrition information in the NIP </w:t>
      </w:r>
      <w:r w:rsidR="0046106F">
        <w:t>for</w:t>
      </w:r>
      <w:r w:rsidRPr="00016B73">
        <w:t xml:space="preserve"> </w:t>
      </w:r>
      <w:r w:rsidR="0099253F">
        <w:t xml:space="preserve">the </w:t>
      </w:r>
      <w:r w:rsidRPr="00016B73">
        <w:t>energy, saturated fat, sugars and sodium content of the food</w:t>
      </w:r>
      <w:r w:rsidR="0099253F">
        <w:t>,</w:t>
      </w:r>
      <w:r w:rsidR="00744BBD" w:rsidRPr="00016B73">
        <w:t xml:space="preserve"> and would be accompanied by an interpretive element</w:t>
      </w:r>
      <w:r w:rsidRPr="00016B73">
        <w:t xml:space="preserve">. </w:t>
      </w:r>
      <w:r w:rsidR="00744BBD" w:rsidRPr="00016B73">
        <w:t>Non-trademarked HSR elements</w:t>
      </w:r>
      <w:r w:rsidR="00B21313" w:rsidRPr="00016B73">
        <w:t xml:space="preserve"> including ‘high’ and ‘low’ descriptors </w:t>
      </w:r>
      <w:r w:rsidR="00DD588C" w:rsidRPr="00016B73">
        <w:t>will</w:t>
      </w:r>
      <w:r w:rsidR="00744BBD" w:rsidRPr="00016B73">
        <w:t xml:space="preserve"> need to meet claim conditions</w:t>
      </w:r>
      <w:r w:rsidR="00016B73">
        <w:t>. This</w:t>
      </w:r>
      <w:r w:rsidR="00744BBD" w:rsidRPr="00016B73">
        <w:t xml:space="preserve"> ensure</w:t>
      </w:r>
      <w:r w:rsidR="006F7265" w:rsidRPr="00016B73">
        <w:t>s</w:t>
      </w:r>
      <w:r w:rsidR="00744BBD" w:rsidRPr="00016B73">
        <w:t xml:space="preserve"> </w:t>
      </w:r>
      <w:r w:rsidR="00B21313" w:rsidRPr="00016B73">
        <w:t>the information presented is consistent with Code</w:t>
      </w:r>
      <w:r w:rsidR="006F7265" w:rsidRPr="00016B73">
        <w:t xml:space="preserve"> requirements</w:t>
      </w:r>
      <w:r w:rsidR="00B21313" w:rsidRPr="00016B73">
        <w:t xml:space="preserve">. </w:t>
      </w:r>
    </w:p>
    <w:p w14:paraId="44E5636F" w14:textId="77777777" w:rsidR="002C1A3B" w:rsidRPr="002C1A3B" w:rsidRDefault="002C1A3B" w:rsidP="001142C7">
      <w:pPr>
        <w:pStyle w:val="Heading3"/>
      </w:pPr>
      <w:bookmarkStart w:id="107" w:name="_Toc300761901"/>
      <w:bookmarkStart w:id="108" w:name="_Toc300933444"/>
      <w:bookmarkStart w:id="109" w:name="_Toc370223480"/>
      <w:bookmarkStart w:id="110" w:name="_Toc370225395"/>
      <w:bookmarkStart w:id="111" w:name="_Toc428861615"/>
      <w:r w:rsidRPr="002C1A3B">
        <w:t>2.5.3</w:t>
      </w:r>
      <w:r w:rsidRPr="002C1A3B">
        <w:tab/>
        <w:t xml:space="preserve">Subsection 18(2) </w:t>
      </w:r>
      <w:bookmarkEnd w:id="107"/>
      <w:bookmarkEnd w:id="108"/>
      <w:r w:rsidRPr="002C1A3B">
        <w:t>considerations</w:t>
      </w:r>
      <w:bookmarkEnd w:id="109"/>
      <w:bookmarkEnd w:id="110"/>
      <w:bookmarkEnd w:id="111"/>
    </w:p>
    <w:p w14:paraId="2F2476B0" w14:textId="77777777" w:rsidR="002C1A3B" w:rsidRPr="002C1A3B" w:rsidRDefault="002C1A3B" w:rsidP="002C1A3B">
      <w:pPr>
        <w:rPr>
          <w:rFonts w:cs="Arial"/>
        </w:rPr>
      </w:pPr>
      <w:r w:rsidRPr="002C1A3B">
        <w:rPr>
          <w:rFonts w:cs="Arial"/>
        </w:rPr>
        <w:t>FSANZ has also had regard to:</w:t>
      </w:r>
    </w:p>
    <w:p w14:paraId="24E9FDDA" w14:textId="77777777" w:rsidR="002C1A3B" w:rsidRPr="002C1A3B" w:rsidRDefault="002C1A3B" w:rsidP="002C1A3B">
      <w:pPr>
        <w:rPr>
          <w:rFonts w:cs="Arial"/>
        </w:rPr>
      </w:pPr>
    </w:p>
    <w:p w14:paraId="3FBC6BB6" w14:textId="77777777" w:rsidR="002C1A3B" w:rsidRPr="00B633B6" w:rsidRDefault="002C1A3B" w:rsidP="00683E18">
      <w:pPr>
        <w:pStyle w:val="FSBullet1"/>
        <w:rPr>
          <w:b/>
        </w:rPr>
      </w:pPr>
      <w:r w:rsidRPr="00B633B6">
        <w:rPr>
          <w:b/>
        </w:rPr>
        <w:t>the need for standards to be based on risk analysis using the best available scientific evidence</w:t>
      </w:r>
    </w:p>
    <w:p w14:paraId="3A7D04F3" w14:textId="77777777" w:rsidR="002C1A3B" w:rsidRDefault="002C1A3B" w:rsidP="002C1A3B">
      <w:pPr>
        <w:rPr>
          <w:lang w:bidi="ar-SA"/>
        </w:rPr>
      </w:pPr>
    </w:p>
    <w:p w14:paraId="689547F3" w14:textId="52DCD42C" w:rsidR="00823884" w:rsidRPr="002C1A3B" w:rsidRDefault="00823884" w:rsidP="002C1A3B">
      <w:pPr>
        <w:rPr>
          <w:lang w:bidi="ar-SA"/>
        </w:rPr>
      </w:pPr>
      <w:r w:rsidRPr="00823884">
        <w:rPr>
          <w:lang w:bidi="ar-SA"/>
        </w:rPr>
        <w:t xml:space="preserve">Since the Proposal does not </w:t>
      </w:r>
      <w:r w:rsidR="004456A2">
        <w:rPr>
          <w:lang w:bidi="ar-SA"/>
        </w:rPr>
        <w:t>make</w:t>
      </w:r>
      <w:r w:rsidRPr="00823884">
        <w:rPr>
          <w:lang w:bidi="ar-SA"/>
        </w:rPr>
        <w:t xml:space="preserve"> any change to the criteria for making claims and the proposed changes are consistent with </w:t>
      </w:r>
      <w:r w:rsidR="00007372">
        <w:rPr>
          <w:lang w:bidi="ar-SA"/>
        </w:rPr>
        <w:t>current</w:t>
      </w:r>
      <w:r w:rsidRPr="00823884">
        <w:rPr>
          <w:lang w:bidi="ar-SA"/>
        </w:rPr>
        <w:t xml:space="preserve"> requirements for prescribed nutrition information, </w:t>
      </w:r>
      <w:r w:rsidR="00E4096D" w:rsidRPr="00E4096D">
        <w:rPr>
          <w:lang w:bidi="ar-SA"/>
        </w:rPr>
        <w:t>FSANZ has concluded that a scientific risk analys</w:t>
      </w:r>
      <w:r w:rsidR="00E4096D">
        <w:rPr>
          <w:lang w:bidi="ar-SA"/>
        </w:rPr>
        <w:t xml:space="preserve">is was not necessary. </w:t>
      </w:r>
    </w:p>
    <w:p w14:paraId="630A9FDC" w14:textId="4B4B00FE" w:rsidR="004E5ADD" w:rsidRPr="002C1A3B" w:rsidRDefault="004E5ADD" w:rsidP="002C1A3B">
      <w:pPr>
        <w:rPr>
          <w:lang w:bidi="ar-SA"/>
        </w:rPr>
      </w:pPr>
    </w:p>
    <w:p w14:paraId="1669E8C1" w14:textId="77777777" w:rsidR="00F63C2C" w:rsidRDefault="00F63C2C" w:rsidP="00683E18">
      <w:pPr>
        <w:pStyle w:val="FSBullet1"/>
        <w:rPr>
          <w:b/>
        </w:rPr>
      </w:pPr>
      <w:r>
        <w:rPr>
          <w:b/>
        </w:rPr>
        <w:br w:type="page"/>
      </w:r>
    </w:p>
    <w:p w14:paraId="4995AE9B" w14:textId="2AA1A5FF" w:rsidR="002C1A3B" w:rsidRPr="00B633B6" w:rsidRDefault="002C1A3B" w:rsidP="00683E18">
      <w:pPr>
        <w:pStyle w:val="FSBullet1"/>
        <w:rPr>
          <w:b/>
        </w:rPr>
      </w:pPr>
      <w:r w:rsidRPr="00B633B6">
        <w:rPr>
          <w:b/>
        </w:rPr>
        <w:lastRenderedPageBreak/>
        <w:t>the promotion of consistency between domestic and international food standards</w:t>
      </w:r>
    </w:p>
    <w:p w14:paraId="23B5B8CA" w14:textId="77777777" w:rsidR="002C1A3B" w:rsidRPr="00B633B6" w:rsidRDefault="002C1A3B" w:rsidP="00683E18">
      <w:pPr>
        <w:pStyle w:val="FSBullet1"/>
        <w:rPr>
          <w:b/>
        </w:rPr>
      </w:pPr>
      <w:r w:rsidRPr="00B633B6">
        <w:rPr>
          <w:b/>
        </w:rPr>
        <w:t>the desirability of an efficient and internationally competitive food industry</w:t>
      </w:r>
    </w:p>
    <w:p w14:paraId="6E02648F" w14:textId="77777777" w:rsidR="002C1A3B" w:rsidRPr="00B633B6" w:rsidRDefault="002C1A3B" w:rsidP="00683E18">
      <w:pPr>
        <w:pStyle w:val="FSBullet1"/>
        <w:rPr>
          <w:b/>
        </w:rPr>
      </w:pPr>
      <w:r w:rsidRPr="00B633B6">
        <w:rPr>
          <w:b/>
        </w:rPr>
        <w:t>the promotion of fair trading in food</w:t>
      </w:r>
    </w:p>
    <w:p w14:paraId="6CD8AFCB" w14:textId="4E87510D" w:rsidR="001E48EA" w:rsidRDefault="001E48EA" w:rsidP="00B633B6">
      <w:pPr>
        <w:rPr>
          <w:lang w:bidi="ar-SA"/>
        </w:rPr>
      </w:pPr>
    </w:p>
    <w:p w14:paraId="6873C571" w14:textId="070439A9" w:rsidR="00B633B6" w:rsidRPr="00254536" w:rsidRDefault="00B633B6" w:rsidP="00B633B6">
      <w:r w:rsidRPr="00254536">
        <w:t xml:space="preserve">As the </w:t>
      </w:r>
      <w:r w:rsidR="00173D10">
        <w:t>approved vari</w:t>
      </w:r>
      <w:r w:rsidR="00173D10" w:rsidRPr="00254536">
        <w:t>ations</w:t>
      </w:r>
      <w:r w:rsidRPr="00254536">
        <w:t xml:space="preserve"> are relatively minor, for reasons of consistency with </w:t>
      </w:r>
      <w:r w:rsidR="00007372">
        <w:t>current</w:t>
      </w:r>
      <w:r w:rsidRPr="00254536">
        <w:t xml:space="preserve"> requirements or for clarity, they are not considered to impact on the three matters listed above. The exemption of the trademarked elements of the HSR system from claim requirements in the Code is also not expected to impact on the matters listed above.  </w:t>
      </w:r>
    </w:p>
    <w:p w14:paraId="6811715B" w14:textId="77777777" w:rsidR="002C1A3B" w:rsidRPr="002C1A3B" w:rsidRDefault="002C1A3B" w:rsidP="002C1A3B">
      <w:pPr>
        <w:rPr>
          <w:lang w:bidi="ar-SA"/>
        </w:rPr>
      </w:pPr>
    </w:p>
    <w:p w14:paraId="00369C8F" w14:textId="4FF53A67" w:rsidR="002C1A3B" w:rsidRPr="00B633B6" w:rsidRDefault="002C1A3B" w:rsidP="008E0C66">
      <w:pPr>
        <w:pStyle w:val="FSBullet1"/>
        <w:autoSpaceDE w:val="0"/>
        <w:rPr>
          <w:b/>
        </w:rPr>
      </w:pPr>
      <w:r w:rsidRPr="00B633B6">
        <w:rPr>
          <w:b/>
        </w:rPr>
        <w:t>any written policy guidelines formulated by the Ministerial Council</w:t>
      </w:r>
      <w:r w:rsidR="00143DBA">
        <w:rPr>
          <w:rFonts w:ascii="ZWAdobeF" w:hAnsi="ZWAdobeF" w:cs="ZWAdobeF"/>
          <w:sz w:val="2"/>
          <w:szCs w:val="2"/>
        </w:rPr>
        <w:t>8F</w:t>
      </w:r>
      <w:r w:rsidR="008E0C66">
        <w:rPr>
          <w:rFonts w:ascii="ZWAdobeF" w:hAnsi="ZWAdobeF" w:cs="ZWAdobeF"/>
          <w:sz w:val="2"/>
          <w:szCs w:val="2"/>
        </w:rPr>
        <w:t>8F</w:t>
      </w:r>
      <w:r w:rsidRPr="00B633B6">
        <w:rPr>
          <w:b/>
          <w:vertAlign w:val="superscript"/>
        </w:rPr>
        <w:footnoteReference w:id="10"/>
      </w:r>
    </w:p>
    <w:p w14:paraId="4A20CE06" w14:textId="77777777" w:rsidR="002C1A3B" w:rsidRDefault="002C1A3B" w:rsidP="002C1A3B">
      <w:pPr>
        <w:rPr>
          <w:lang w:bidi="ar-SA"/>
        </w:rPr>
      </w:pPr>
    </w:p>
    <w:p w14:paraId="76FC5987" w14:textId="4824C204" w:rsidR="00B633B6" w:rsidRDefault="00B633B6" w:rsidP="002C1A3B">
      <w:pPr>
        <w:rPr>
          <w:lang w:bidi="ar-SA"/>
        </w:rPr>
      </w:pPr>
      <w:r w:rsidRPr="00B633B6">
        <w:rPr>
          <w:lang w:bidi="ar-SA"/>
        </w:rPr>
        <w:t xml:space="preserve">In December 2003, the Ministerial Council released the Policy Guideline on Nutrition, Health and Related Claims. The Policy Guideline sets out the policy principles underpinning the regulation of nutrition content claims (and health claims) and aims to permit claims and encourage industry to innovate, whilst ensuring consumers are not misled. The variations provide clarity about requirements in Standard 1.2.7 and associated amendments to Standard 1.2.8 </w:t>
      </w:r>
      <w:r w:rsidR="00D0646F">
        <w:rPr>
          <w:lang w:bidi="ar-SA"/>
        </w:rPr>
        <w:t xml:space="preserve">and related schedules </w:t>
      </w:r>
      <w:r w:rsidRPr="00B633B6">
        <w:rPr>
          <w:lang w:bidi="ar-SA"/>
        </w:rPr>
        <w:t>developed with regard to this policy guideline.</w:t>
      </w:r>
    </w:p>
    <w:p w14:paraId="18C5ADF8" w14:textId="77777777" w:rsidR="00C92E07" w:rsidRPr="00C47737" w:rsidRDefault="002C1A3B" w:rsidP="001142C7">
      <w:pPr>
        <w:pStyle w:val="Heading1"/>
      </w:pPr>
      <w:bookmarkStart w:id="112" w:name="_Toc428369909"/>
      <w:bookmarkStart w:id="113" w:name="_Toc428861616"/>
      <w:r w:rsidRPr="00C47737">
        <w:t>3</w:t>
      </w:r>
      <w:r w:rsidR="00453646" w:rsidRPr="00C47737">
        <w:tab/>
      </w:r>
      <w:r w:rsidR="00C92E07" w:rsidRPr="00C47737">
        <w:t xml:space="preserve">Transitional </w:t>
      </w:r>
      <w:r w:rsidR="000B427A" w:rsidRPr="00C47737">
        <w:t>a</w:t>
      </w:r>
      <w:r w:rsidR="00C92E07" w:rsidRPr="00C47737">
        <w:t>rrangements</w:t>
      </w:r>
      <w:bookmarkEnd w:id="89"/>
      <w:bookmarkEnd w:id="112"/>
      <w:bookmarkEnd w:id="113"/>
    </w:p>
    <w:p w14:paraId="6EC34E19" w14:textId="680D94F6" w:rsidR="007F24A6" w:rsidRPr="00E6045B" w:rsidRDefault="00E6045B" w:rsidP="007F24A6">
      <w:pPr>
        <w:rPr>
          <w:rFonts w:cs="Arial"/>
        </w:rPr>
      </w:pPr>
      <w:r w:rsidRPr="00E6045B">
        <w:rPr>
          <w:rFonts w:cs="Arial"/>
        </w:rPr>
        <w:t xml:space="preserve">In </w:t>
      </w:r>
      <w:r w:rsidR="00D0646F">
        <w:rPr>
          <w:rFonts w:cs="Arial"/>
        </w:rPr>
        <w:t>its</w:t>
      </w:r>
      <w:r w:rsidR="00D0646F" w:rsidRPr="00E6045B">
        <w:rPr>
          <w:rFonts w:cs="Arial"/>
        </w:rPr>
        <w:t xml:space="preserve"> </w:t>
      </w:r>
      <w:r w:rsidR="00173D10">
        <w:rPr>
          <w:rFonts w:cs="Arial"/>
        </w:rPr>
        <w:t>c</w:t>
      </w:r>
      <w:r w:rsidRPr="00E6045B">
        <w:rPr>
          <w:rFonts w:cs="Arial"/>
        </w:rPr>
        <w:t xml:space="preserve">all for </w:t>
      </w:r>
      <w:r w:rsidR="00173D10">
        <w:rPr>
          <w:rFonts w:cs="Arial"/>
        </w:rPr>
        <w:t>s</w:t>
      </w:r>
      <w:r w:rsidRPr="00E6045B">
        <w:rPr>
          <w:rFonts w:cs="Arial"/>
        </w:rPr>
        <w:t xml:space="preserve">ubmissions, </w:t>
      </w:r>
      <w:r w:rsidR="007F24A6" w:rsidRPr="00E6045B">
        <w:rPr>
          <w:rFonts w:cs="Arial"/>
        </w:rPr>
        <w:t xml:space="preserve">FSANZ </w:t>
      </w:r>
      <w:r w:rsidRPr="00E6045B">
        <w:rPr>
          <w:rFonts w:cs="Arial"/>
        </w:rPr>
        <w:t>proposed</w:t>
      </w:r>
      <w:r w:rsidR="007F24A6" w:rsidRPr="00E6045B">
        <w:rPr>
          <w:rFonts w:cs="Arial"/>
        </w:rPr>
        <w:t xml:space="preserve"> that no additional transitional arrangements </w:t>
      </w:r>
      <w:r w:rsidRPr="00E6045B">
        <w:rPr>
          <w:rFonts w:cs="Arial"/>
        </w:rPr>
        <w:t>were</w:t>
      </w:r>
      <w:r w:rsidR="007F24A6" w:rsidRPr="00E6045B">
        <w:rPr>
          <w:rFonts w:cs="Arial"/>
        </w:rPr>
        <w:t xml:space="preserve"> required for this Proposal </w:t>
      </w:r>
      <w:r w:rsidR="00053E26">
        <w:rPr>
          <w:rFonts w:cs="Arial"/>
        </w:rPr>
        <w:t>because</w:t>
      </w:r>
      <w:r w:rsidRPr="00E6045B">
        <w:rPr>
          <w:rFonts w:cs="Arial"/>
        </w:rPr>
        <w:t xml:space="preserve"> the amendments we</w:t>
      </w:r>
      <w:r w:rsidR="007F24A6" w:rsidRPr="00E6045B">
        <w:rPr>
          <w:rFonts w:cs="Arial"/>
        </w:rPr>
        <w:t>re not expected to result in additional costs of re-labelling. However</w:t>
      </w:r>
      <w:r w:rsidR="00D0646F">
        <w:rPr>
          <w:rFonts w:cs="Arial"/>
        </w:rPr>
        <w:t>,</w:t>
      </w:r>
      <w:r w:rsidR="007F24A6" w:rsidRPr="00E6045B">
        <w:rPr>
          <w:rFonts w:cs="Arial"/>
        </w:rPr>
        <w:t xml:space="preserve"> FSANZ </w:t>
      </w:r>
      <w:r w:rsidRPr="00E6045B">
        <w:rPr>
          <w:rFonts w:cs="Arial"/>
        </w:rPr>
        <w:t xml:space="preserve">sought </w:t>
      </w:r>
      <w:r w:rsidR="007F24A6" w:rsidRPr="00E6045B">
        <w:rPr>
          <w:rFonts w:cs="Arial"/>
        </w:rPr>
        <w:t>to confirm the expected impacts on food businesses through th</w:t>
      </w:r>
      <w:r w:rsidRPr="00E6045B">
        <w:rPr>
          <w:rFonts w:cs="Arial"/>
        </w:rPr>
        <w:t>e</w:t>
      </w:r>
      <w:r w:rsidR="007F24A6" w:rsidRPr="00E6045B">
        <w:rPr>
          <w:rFonts w:cs="Arial"/>
        </w:rPr>
        <w:t xml:space="preserve"> consultation</w:t>
      </w:r>
      <w:r>
        <w:rPr>
          <w:rFonts w:cs="Arial"/>
        </w:rPr>
        <w:t xml:space="preserve"> and to reassess this approach if deemed necessary</w:t>
      </w:r>
      <w:r w:rsidRPr="00E6045B">
        <w:rPr>
          <w:rFonts w:cs="Arial"/>
        </w:rPr>
        <w:t xml:space="preserve">. </w:t>
      </w:r>
    </w:p>
    <w:p w14:paraId="5AAA262C" w14:textId="77777777" w:rsidR="00E6045B" w:rsidRPr="00E6045B" w:rsidRDefault="00E6045B" w:rsidP="007F24A6">
      <w:pPr>
        <w:rPr>
          <w:rFonts w:cs="Arial"/>
        </w:rPr>
      </w:pPr>
    </w:p>
    <w:p w14:paraId="19DA6963" w14:textId="0C88F80D" w:rsidR="001A2075" w:rsidRDefault="001A2075" w:rsidP="00E6045B">
      <w:pPr>
        <w:rPr>
          <w:rFonts w:cs="Arial"/>
        </w:rPr>
      </w:pPr>
      <w:r>
        <w:rPr>
          <w:rFonts w:cs="Arial"/>
        </w:rPr>
        <w:t xml:space="preserve">Some submitters </w:t>
      </w:r>
      <w:r w:rsidR="00E6045B" w:rsidRPr="00E6045B">
        <w:rPr>
          <w:rFonts w:cs="Arial"/>
        </w:rPr>
        <w:t xml:space="preserve">indicated that label changes could be required as a result of the measures proposed. These submitters requested a realistic transition period, followed by a </w:t>
      </w:r>
      <w:r w:rsidR="00F150B5">
        <w:t xml:space="preserve">stock-in-trade </w:t>
      </w:r>
      <w:r w:rsidR="004456A2">
        <w:rPr>
          <w:rFonts w:cs="Arial"/>
        </w:rPr>
        <w:t>exemption</w:t>
      </w:r>
      <w:r w:rsidR="00E6045B" w:rsidRPr="00E6045B">
        <w:rPr>
          <w:rFonts w:cs="Arial"/>
        </w:rPr>
        <w:t>. FSANZ has subsequentl</w:t>
      </w:r>
      <w:r>
        <w:rPr>
          <w:rFonts w:cs="Arial"/>
        </w:rPr>
        <w:t>y provided a transition period for the amendments until</w:t>
      </w:r>
      <w:r w:rsidRPr="001A2075">
        <w:rPr>
          <w:rFonts w:cs="Arial"/>
        </w:rPr>
        <w:t xml:space="preserve"> 18 January 2017. This period aligns with the end of the current transition period for Standard 1.2.7.</w:t>
      </w:r>
      <w:r w:rsidR="00CE1A24">
        <w:rPr>
          <w:rFonts w:cs="Arial"/>
        </w:rPr>
        <w:t xml:space="preserve"> During this time, </w:t>
      </w:r>
      <w:r w:rsidR="00CE1A24" w:rsidRPr="00584AF3">
        <w:t xml:space="preserve">food </w:t>
      </w:r>
      <w:r w:rsidR="00CE1A24">
        <w:t>can</w:t>
      </w:r>
      <w:r w:rsidR="00CE1A24" w:rsidRPr="00584AF3">
        <w:t xml:space="preserve"> comply with </w:t>
      </w:r>
      <w:r w:rsidR="00CE1A24">
        <w:t xml:space="preserve">either the Code as in force as if the </w:t>
      </w:r>
      <w:r w:rsidR="00CE1A24" w:rsidRPr="00584AF3">
        <w:t xml:space="preserve">variations </w:t>
      </w:r>
      <w:r w:rsidR="00CE1A24">
        <w:t>had not taken effect or with the Code as amended by the variations, but not both.</w:t>
      </w:r>
      <w:r w:rsidR="00CE1A24" w:rsidRPr="00584AF3">
        <w:t xml:space="preserve"> </w:t>
      </w:r>
      <w:r w:rsidR="00CE1A24">
        <w:t xml:space="preserve">The transition period </w:t>
      </w:r>
      <w:r w:rsidR="004456A2">
        <w:rPr>
          <w:rFonts w:cs="Arial"/>
        </w:rPr>
        <w:t>will be followed by a 12 month</w:t>
      </w:r>
      <w:r w:rsidR="00E6045B" w:rsidRPr="00E6045B">
        <w:rPr>
          <w:rFonts w:cs="Arial"/>
        </w:rPr>
        <w:t xml:space="preserve"> </w:t>
      </w:r>
      <w:r w:rsidR="00F150B5">
        <w:t xml:space="preserve">stock-in-trade </w:t>
      </w:r>
      <w:r w:rsidR="004456A2">
        <w:rPr>
          <w:rFonts w:cs="Arial"/>
        </w:rPr>
        <w:t>exemption</w:t>
      </w:r>
      <w:r w:rsidR="0099253F">
        <w:rPr>
          <w:rFonts w:cs="Arial"/>
        </w:rPr>
        <w:t>.</w:t>
      </w:r>
      <w:r w:rsidR="00CE1A24">
        <w:rPr>
          <w:rFonts w:cs="Arial"/>
        </w:rPr>
        <w:t xml:space="preserve"> </w:t>
      </w:r>
      <w:r w:rsidR="00CE1A24">
        <w:t>In this period, food that does not comply with the Code as amended by the relevant variation will be deemed to be compliant with the Code if that food otherwise complied with the Code before the end of the transition period.</w:t>
      </w:r>
      <w:r w:rsidR="00E6045B" w:rsidRPr="00E6045B">
        <w:rPr>
          <w:rFonts w:cs="Arial"/>
        </w:rPr>
        <w:t xml:space="preserve"> </w:t>
      </w:r>
    </w:p>
    <w:p w14:paraId="6E33AE2F" w14:textId="77777777" w:rsidR="001A2075" w:rsidRDefault="001A2075" w:rsidP="00E6045B">
      <w:pPr>
        <w:rPr>
          <w:rFonts w:cs="Arial"/>
        </w:rPr>
      </w:pPr>
    </w:p>
    <w:p w14:paraId="77839BB9" w14:textId="2DF124F3" w:rsidR="006F06BB" w:rsidRDefault="001A2075" w:rsidP="00E6045B">
      <w:pPr>
        <w:rPr>
          <w:rFonts w:cs="Arial"/>
        </w:rPr>
      </w:pPr>
      <w:r>
        <w:rPr>
          <w:rFonts w:cs="Arial"/>
        </w:rPr>
        <w:t>N</w:t>
      </w:r>
      <w:r w:rsidR="00E6045B" w:rsidRPr="00E6045B">
        <w:rPr>
          <w:rFonts w:cs="Arial"/>
        </w:rPr>
        <w:t>o trans</w:t>
      </w:r>
      <w:r>
        <w:rPr>
          <w:rFonts w:cs="Arial"/>
        </w:rPr>
        <w:t xml:space="preserve">ition period or stock-in-trade </w:t>
      </w:r>
      <w:r w:rsidRPr="004456A2">
        <w:rPr>
          <w:rFonts w:cs="Arial"/>
        </w:rPr>
        <w:t>exemption</w:t>
      </w:r>
      <w:r w:rsidR="00E6045B" w:rsidRPr="00E6045B">
        <w:rPr>
          <w:rFonts w:cs="Arial"/>
        </w:rPr>
        <w:t xml:space="preserve"> will be provided in relation to the </w:t>
      </w:r>
      <w:r w:rsidR="00E6045B">
        <w:rPr>
          <w:rFonts w:cs="Arial"/>
        </w:rPr>
        <w:t xml:space="preserve">exemptions for elements of the </w:t>
      </w:r>
      <w:r w:rsidR="00E6045B" w:rsidRPr="00E6045B">
        <w:rPr>
          <w:rFonts w:cs="Arial"/>
        </w:rPr>
        <w:t xml:space="preserve">HSR system, given the variation to the Code is deregulatory in nature. </w:t>
      </w:r>
    </w:p>
    <w:p w14:paraId="5DB905A5" w14:textId="77777777" w:rsidR="006E10A1" w:rsidRDefault="006E10A1" w:rsidP="005B06CC">
      <w:pPr>
        <w:pStyle w:val="FSCh2Part"/>
      </w:pPr>
      <w:bookmarkStart w:id="114" w:name="_Toc428369910"/>
      <w:bookmarkStart w:id="115" w:name="_Toc428861617"/>
      <w:r>
        <w:t>3.1</w:t>
      </w:r>
      <w:r>
        <w:tab/>
        <w:t>Transitional arrangements for Code Revision</w:t>
      </w:r>
      <w:bookmarkEnd w:id="114"/>
      <w:bookmarkEnd w:id="115"/>
    </w:p>
    <w:p w14:paraId="46E5C356" w14:textId="7F6FBCBC" w:rsidR="00F63C2C" w:rsidRDefault="00250197" w:rsidP="008E0C66">
      <w:pPr>
        <w:autoSpaceDE w:val="0"/>
      </w:pPr>
      <w:bookmarkStart w:id="116" w:name="_Toc11735642"/>
      <w:bookmarkStart w:id="117" w:name="_Toc29883129"/>
      <w:bookmarkStart w:id="118" w:name="_Toc41906816"/>
      <w:bookmarkStart w:id="119" w:name="_Toc41907563"/>
      <w:bookmarkStart w:id="120" w:name="_Toc120358595"/>
      <w:bookmarkStart w:id="121" w:name="_Toc175381457"/>
      <w:r w:rsidRPr="00250197">
        <w:t>FSANZ has completed a review of the Code undertaken under Proposal P1025</w:t>
      </w:r>
      <w:r w:rsidR="00143DBA">
        <w:rPr>
          <w:rFonts w:ascii="ZWAdobeF" w:hAnsi="ZWAdobeF" w:cs="ZWAdobeF"/>
          <w:sz w:val="2"/>
          <w:szCs w:val="2"/>
        </w:rPr>
        <w:t>9F</w:t>
      </w:r>
      <w:r w:rsidR="008E0C66">
        <w:rPr>
          <w:rFonts w:ascii="ZWAdobeF" w:hAnsi="ZWAdobeF" w:cs="ZWAdobeF"/>
          <w:sz w:val="2"/>
          <w:szCs w:val="2"/>
        </w:rPr>
        <w:t>9F</w:t>
      </w:r>
      <w:r w:rsidRPr="00250197">
        <w:rPr>
          <w:vertAlign w:val="superscript"/>
        </w:rPr>
        <w:footnoteReference w:id="11"/>
      </w:r>
      <w:r w:rsidRPr="00250197">
        <w:t xml:space="preserve"> in order to improve its clarity and legal efficacy. </w:t>
      </w:r>
      <w:r w:rsidR="007F24A6">
        <w:t>T</w:t>
      </w:r>
      <w:r w:rsidRPr="00250197">
        <w:t xml:space="preserve">he new Code will commence on 1 March 2016 (following gazettal </w:t>
      </w:r>
      <w:r w:rsidR="00CF0E86">
        <w:t xml:space="preserve">on </w:t>
      </w:r>
      <w:r w:rsidR="002B0071">
        <w:t xml:space="preserve">10 April 2015 </w:t>
      </w:r>
      <w:r w:rsidRPr="00250197">
        <w:t xml:space="preserve">and registration on </w:t>
      </w:r>
      <w:r>
        <w:t>the Federal Register of Legislative Instruments</w:t>
      </w:r>
      <w:r w:rsidRPr="00250197">
        <w:t xml:space="preserve">). The current Code will also be repealed on this date. </w:t>
      </w:r>
      <w:r w:rsidR="002B0071" w:rsidRPr="006C0045">
        <w:t>The approved variation at Attachment B varies the revised Code on 1 March 2016 to ensure that the revised Code is consistent with the current Code as amended by the variation at Attachment A.</w:t>
      </w:r>
      <w:r w:rsidR="00F63C2C">
        <w:br w:type="page"/>
      </w:r>
    </w:p>
    <w:p w14:paraId="428627DC" w14:textId="77777777" w:rsidR="0012388D" w:rsidRDefault="00D15A08" w:rsidP="006C22A7">
      <w:pPr>
        <w:spacing w:before="240"/>
        <w:rPr>
          <w:b/>
          <w:sz w:val="28"/>
          <w:szCs w:val="28"/>
        </w:rPr>
      </w:pPr>
      <w:bookmarkStart w:id="122" w:name="_Toc11735643"/>
      <w:bookmarkStart w:id="123" w:name="_Toc29883130"/>
      <w:bookmarkStart w:id="124" w:name="_Toc41906817"/>
      <w:bookmarkStart w:id="125" w:name="_Toc41907564"/>
      <w:bookmarkStart w:id="126" w:name="_Toc43112360"/>
      <w:bookmarkEnd w:id="116"/>
      <w:bookmarkEnd w:id="117"/>
      <w:bookmarkEnd w:id="118"/>
      <w:bookmarkEnd w:id="119"/>
      <w:bookmarkEnd w:id="120"/>
      <w:bookmarkEnd w:id="121"/>
      <w:r w:rsidRPr="006C22A7">
        <w:rPr>
          <w:b/>
          <w:sz w:val="28"/>
          <w:szCs w:val="28"/>
        </w:rPr>
        <w:lastRenderedPageBreak/>
        <w:t>A</w:t>
      </w:r>
      <w:bookmarkEnd w:id="122"/>
      <w:bookmarkEnd w:id="123"/>
      <w:bookmarkEnd w:id="124"/>
      <w:bookmarkEnd w:id="125"/>
      <w:bookmarkEnd w:id="126"/>
      <w:r w:rsidR="00B21055">
        <w:rPr>
          <w:b/>
          <w:sz w:val="28"/>
          <w:szCs w:val="28"/>
        </w:rPr>
        <w:t>ttachments</w:t>
      </w:r>
    </w:p>
    <w:p w14:paraId="2FB40C1F" w14:textId="77777777" w:rsidR="006C22A7" w:rsidRDefault="006C22A7" w:rsidP="00755F02"/>
    <w:p w14:paraId="2941DC00" w14:textId="2A020819" w:rsidR="00795D86" w:rsidRDefault="00755F02" w:rsidP="00456BD5">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56BD5">
        <w:rPr>
          <w:i/>
        </w:rPr>
        <w:t xml:space="preserve"> </w:t>
      </w:r>
      <w:r w:rsidR="00456BD5" w:rsidRPr="00456BD5">
        <w:t>and related</w:t>
      </w:r>
      <w:r w:rsidR="00456BD5">
        <w:rPr>
          <w:i/>
        </w:rPr>
        <w:t xml:space="preserve"> </w:t>
      </w:r>
      <w:r w:rsidR="00795D86">
        <w:t>Explanatory Statement</w:t>
      </w:r>
    </w:p>
    <w:p w14:paraId="5EA1C490" w14:textId="574831EF" w:rsidR="00456BD5" w:rsidRDefault="00456BD5" w:rsidP="00456BD5">
      <w:pPr>
        <w:ind w:left="567" w:hanging="567"/>
      </w:pPr>
      <w:r w:rsidRPr="00456BD5">
        <w:t>B</w:t>
      </w:r>
      <w:r w:rsidR="00755F02" w:rsidRPr="00456BD5">
        <w:t>.</w:t>
      </w:r>
      <w:r w:rsidR="00755F02" w:rsidRPr="00456BD5">
        <w:tab/>
      </w:r>
      <w:r w:rsidRPr="00456BD5">
        <w:t xml:space="preserve">Approved draft variation to the revised </w:t>
      </w:r>
      <w:r w:rsidRPr="00456BD5">
        <w:rPr>
          <w:i/>
        </w:rPr>
        <w:t xml:space="preserve">Australia New Zealand Food Standards Code </w:t>
      </w:r>
      <w:r w:rsidRPr="00456BD5">
        <w:t>and related</w:t>
      </w:r>
      <w:r>
        <w:rPr>
          <w:i/>
        </w:rPr>
        <w:t xml:space="preserve"> </w:t>
      </w:r>
      <w:r>
        <w:t>Explanatory Statement (commencing 1 March 2016)</w:t>
      </w:r>
    </w:p>
    <w:p w14:paraId="7EFEBCF9" w14:textId="1BC57A13" w:rsidR="006C22A7" w:rsidRDefault="00456BD5" w:rsidP="00E47D3B">
      <w:pPr>
        <w:ind w:left="567" w:hanging="567"/>
      </w:pPr>
      <w:r w:rsidRPr="006C0045">
        <w:t>C.</w:t>
      </w:r>
      <w:r w:rsidRPr="006C0045">
        <w:tab/>
      </w:r>
      <w:r w:rsidR="00E47D3B" w:rsidRPr="006C0045">
        <w:t xml:space="preserve">Draft variation to the </w:t>
      </w:r>
      <w:r w:rsidR="00E47D3B" w:rsidRPr="006C0045">
        <w:rPr>
          <w:i/>
        </w:rPr>
        <w:t xml:space="preserve">Australia New Zealand Food Standards Code </w:t>
      </w:r>
      <w:r w:rsidR="00E47D3B" w:rsidRPr="006C0045">
        <w:t>(call for submissions)</w:t>
      </w:r>
    </w:p>
    <w:p w14:paraId="4FC93869" w14:textId="701CD821" w:rsidR="006C0045" w:rsidRPr="006C0045" w:rsidRDefault="006C0045" w:rsidP="00E47D3B">
      <w:pPr>
        <w:ind w:left="567" w:hanging="567"/>
      </w:pPr>
      <w:r w:rsidRPr="006C0045">
        <w:t>D</w:t>
      </w:r>
      <w:r>
        <w:t>.</w:t>
      </w:r>
      <w:r>
        <w:tab/>
      </w:r>
      <w:r w:rsidRPr="006C0045">
        <w:t xml:space="preserve">Draft variation to the revised </w:t>
      </w:r>
      <w:r w:rsidRPr="006C0045">
        <w:rPr>
          <w:i/>
        </w:rPr>
        <w:t>Australia New Zealand Food Standards Code</w:t>
      </w:r>
      <w:r w:rsidRPr="006C0045">
        <w:t xml:space="preserve"> (commencing 1 March 2016) (call for submissions)</w:t>
      </w:r>
    </w:p>
    <w:p w14:paraId="3AD96841" w14:textId="53F714BF" w:rsidR="007D0189" w:rsidRDefault="003C4969" w:rsidP="00F63C2C">
      <w:pPr>
        <w:pStyle w:val="Heading2"/>
      </w:pPr>
      <w:r w:rsidRPr="00932F14">
        <w:br w:type="page"/>
      </w:r>
      <w:bookmarkStart w:id="127" w:name="_Toc120358598"/>
      <w:bookmarkStart w:id="128" w:name="_Toc175381460"/>
    </w:p>
    <w:p w14:paraId="65B97667" w14:textId="77777777" w:rsidR="002F070F" w:rsidRPr="00932F14" w:rsidRDefault="002F070F" w:rsidP="005B06CC">
      <w:pPr>
        <w:pStyle w:val="FSCh2Part"/>
        <w:ind w:left="0" w:firstLine="0"/>
      </w:pPr>
      <w:bookmarkStart w:id="129" w:name="_Toc29883131"/>
      <w:bookmarkStart w:id="130" w:name="_Toc41906818"/>
      <w:bookmarkStart w:id="131" w:name="_Toc41907565"/>
      <w:bookmarkStart w:id="132" w:name="_Toc120358596"/>
      <w:bookmarkStart w:id="133" w:name="_Toc175381458"/>
      <w:bookmarkStart w:id="134" w:name="_Toc11735644"/>
      <w:bookmarkStart w:id="135" w:name="_Toc286391017"/>
      <w:bookmarkStart w:id="136" w:name="_Toc300933453"/>
      <w:bookmarkStart w:id="137" w:name="_Toc420053000"/>
      <w:bookmarkStart w:id="138" w:name="_Toc428369911"/>
      <w:bookmarkStart w:id="139" w:name="_Toc428861618"/>
      <w:r w:rsidRPr="00932F14">
        <w:lastRenderedPageBreak/>
        <w:t xml:space="preserve">Attachment </w:t>
      </w:r>
      <w:bookmarkEnd w:id="129"/>
      <w:bookmarkEnd w:id="130"/>
      <w:bookmarkEnd w:id="131"/>
      <w:bookmarkEnd w:id="132"/>
      <w:bookmarkEnd w:id="133"/>
      <w:r>
        <w:t>A</w:t>
      </w:r>
      <w:bookmarkStart w:id="140" w:name="_Toc120358597"/>
      <w:bookmarkStart w:id="141" w:name="_Toc175381459"/>
      <w:bookmarkEnd w:id="134"/>
      <w:r>
        <w:t xml:space="preserve"> – Approved d</w:t>
      </w:r>
      <w:r w:rsidRPr="00932F14">
        <w:t xml:space="preserve">raft </w:t>
      </w:r>
      <w:r w:rsidRPr="008E19FC">
        <w:t>variation to the</w:t>
      </w:r>
      <w:r w:rsidRPr="00932F14">
        <w:t xml:space="preserve"> </w:t>
      </w:r>
      <w:r w:rsidRPr="007C174F">
        <w:rPr>
          <w:i/>
        </w:rPr>
        <w:t>Australia New Zealand Food Standards Code</w:t>
      </w:r>
      <w:bookmarkEnd w:id="135"/>
      <w:bookmarkEnd w:id="136"/>
      <w:bookmarkEnd w:id="137"/>
      <w:bookmarkEnd w:id="138"/>
      <w:bookmarkEnd w:id="139"/>
      <w:bookmarkEnd w:id="140"/>
      <w:bookmarkEnd w:id="141"/>
    </w:p>
    <w:p w14:paraId="17003160" w14:textId="77777777" w:rsidR="002F070F" w:rsidRPr="00584AF3" w:rsidRDefault="002F070F" w:rsidP="002F070F">
      <w:pPr>
        <w:tabs>
          <w:tab w:val="left" w:pos="851"/>
        </w:tabs>
        <w:rPr>
          <w:noProof/>
          <w:sz w:val="20"/>
          <w:szCs w:val="20"/>
          <w:lang w:val="en-AU" w:eastAsia="en-AU" w:bidi="ar-SA"/>
        </w:rPr>
      </w:pPr>
      <w:r w:rsidRPr="00584AF3">
        <w:rPr>
          <w:noProof/>
          <w:sz w:val="20"/>
          <w:szCs w:val="20"/>
          <w:lang w:eastAsia="en-GB" w:bidi="ar-SA"/>
        </w:rPr>
        <w:drawing>
          <wp:inline distT="0" distB="0" distL="0" distR="0" wp14:anchorId="3FE567FE" wp14:editId="5ED35E8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D72EF30" w14:textId="77777777" w:rsidR="002F070F" w:rsidRPr="00584AF3" w:rsidRDefault="002F070F" w:rsidP="002F070F">
      <w:pPr>
        <w:pBdr>
          <w:bottom w:val="single" w:sz="4" w:space="1" w:color="auto"/>
        </w:pBdr>
        <w:tabs>
          <w:tab w:val="left" w:pos="851"/>
        </w:tabs>
        <w:jc w:val="center"/>
        <w:rPr>
          <w:sz w:val="20"/>
          <w:szCs w:val="20"/>
          <w:lang w:bidi="ar-SA"/>
        </w:rPr>
      </w:pPr>
    </w:p>
    <w:p w14:paraId="3D4EF0EF" w14:textId="77777777" w:rsidR="002F070F" w:rsidRPr="00584AF3" w:rsidRDefault="002F070F" w:rsidP="002F070F">
      <w:pPr>
        <w:pBdr>
          <w:bottom w:val="single" w:sz="4" w:space="1" w:color="auto"/>
        </w:pBdr>
        <w:tabs>
          <w:tab w:val="left" w:pos="851"/>
        </w:tabs>
        <w:rPr>
          <w:b/>
          <w:sz w:val="20"/>
          <w:szCs w:val="20"/>
          <w:lang w:bidi="ar-SA"/>
        </w:rPr>
      </w:pPr>
      <w:r w:rsidRPr="00584AF3">
        <w:rPr>
          <w:b/>
          <w:sz w:val="20"/>
          <w:szCs w:val="20"/>
          <w:lang w:bidi="ar-SA"/>
        </w:rPr>
        <w:t xml:space="preserve">Food Standards (Proposal P1037– Amendments associated with Nutrition </w:t>
      </w:r>
      <w:r>
        <w:rPr>
          <w:b/>
          <w:sz w:val="20"/>
          <w:szCs w:val="20"/>
          <w:lang w:bidi="ar-SA"/>
        </w:rPr>
        <w:t xml:space="preserve">Content &amp; Health </w:t>
      </w:r>
      <w:r w:rsidRPr="00584AF3">
        <w:rPr>
          <w:b/>
          <w:sz w:val="20"/>
          <w:szCs w:val="20"/>
          <w:lang w:bidi="ar-SA"/>
        </w:rPr>
        <w:t>Claims) Variation</w:t>
      </w:r>
    </w:p>
    <w:p w14:paraId="187DDB44" w14:textId="77777777" w:rsidR="002F070F" w:rsidRPr="00584AF3" w:rsidRDefault="002F070F" w:rsidP="002F070F">
      <w:pPr>
        <w:pBdr>
          <w:bottom w:val="single" w:sz="4" w:space="1" w:color="auto"/>
        </w:pBdr>
        <w:tabs>
          <w:tab w:val="left" w:pos="851"/>
        </w:tabs>
        <w:rPr>
          <w:b/>
          <w:sz w:val="20"/>
          <w:szCs w:val="20"/>
          <w:lang w:bidi="ar-SA"/>
        </w:rPr>
      </w:pPr>
    </w:p>
    <w:p w14:paraId="2F517C65" w14:textId="77777777" w:rsidR="002F070F" w:rsidRPr="00584AF3" w:rsidRDefault="002F070F" w:rsidP="002F070F">
      <w:pPr>
        <w:tabs>
          <w:tab w:val="left" w:pos="851"/>
        </w:tabs>
        <w:rPr>
          <w:sz w:val="20"/>
          <w:szCs w:val="20"/>
          <w:lang w:bidi="ar-SA"/>
        </w:rPr>
      </w:pPr>
    </w:p>
    <w:p w14:paraId="641E0D79" w14:textId="77777777" w:rsidR="002F070F" w:rsidRPr="00584AF3" w:rsidRDefault="002F070F" w:rsidP="002F070F">
      <w:pPr>
        <w:tabs>
          <w:tab w:val="left" w:pos="851"/>
        </w:tabs>
        <w:rPr>
          <w:sz w:val="20"/>
          <w:szCs w:val="20"/>
          <w:lang w:bidi="ar-SA"/>
        </w:rPr>
      </w:pPr>
      <w:r w:rsidRPr="00584AF3">
        <w:rPr>
          <w:sz w:val="20"/>
          <w:szCs w:val="20"/>
          <w:lang w:bidi="ar-SA"/>
        </w:rPr>
        <w:t xml:space="preserve">The Board of Food Standards Australia New Zealand gives notice of the making of this variation under section 92 of the </w:t>
      </w:r>
      <w:r w:rsidRPr="00584AF3">
        <w:rPr>
          <w:i/>
          <w:sz w:val="20"/>
          <w:szCs w:val="20"/>
          <w:lang w:bidi="ar-SA"/>
        </w:rPr>
        <w:t>Food Standards Australia New Zealand Act 1991</w:t>
      </w:r>
      <w:r w:rsidRPr="00584AF3">
        <w:rPr>
          <w:sz w:val="20"/>
          <w:szCs w:val="20"/>
          <w:lang w:bidi="ar-SA"/>
        </w:rPr>
        <w:t>.  Th</w:t>
      </w:r>
      <w:r>
        <w:rPr>
          <w:sz w:val="20"/>
          <w:szCs w:val="20"/>
          <w:lang w:bidi="ar-SA"/>
        </w:rPr>
        <w:t>is</w:t>
      </w:r>
      <w:r w:rsidRPr="00584AF3">
        <w:rPr>
          <w:sz w:val="20"/>
          <w:szCs w:val="20"/>
          <w:lang w:bidi="ar-SA"/>
        </w:rPr>
        <w:t xml:space="preserve"> </w:t>
      </w:r>
      <w:r>
        <w:rPr>
          <w:sz w:val="20"/>
          <w:szCs w:val="20"/>
          <w:lang w:bidi="ar-SA"/>
        </w:rPr>
        <w:t>variation</w:t>
      </w:r>
      <w:r w:rsidRPr="00584AF3">
        <w:rPr>
          <w:sz w:val="20"/>
          <w:szCs w:val="20"/>
          <w:lang w:bidi="ar-SA"/>
        </w:rPr>
        <w:t xml:space="preserve"> commences on the date specified in clause 3 of this variation.</w:t>
      </w:r>
    </w:p>
    <w:p w14:paraId="6FF7D28A" w14:textId="77777777" w:rsidR="002F070F" w:rsidRPr="00584AF3" w:rsidRDefault="002F070F" w:rsidP="002F070F">
      <w:pPr>
        <w:tabs>
          <w:tab w:val="left" w:pos="851"/>
        </w:tabs>
        <w:rPr>
          <w:sz w:val="20"/>
          <w:szCs w:val="20"/>
          <w:lang w:bidi="ar-SA"/>
        </w:rPr>
      </w:pPr>
    </w:p>
    <w:p w14:paraId="1154F471" w14:textId="77777777" w:rsidR="002F070F" w:rsidRPr="00584AF3" w:rsidRDefault="002F070F" w:rsidP="002F070F">
      <w:pPr>
        <w:tabs>
          <w:tab w:val="left" w:pos="851"/>
        </w:tabs>
        <w:rPr>
          <w:sz w:val="20"/>
          <w:szCs w:val="20"/>
          <w:lang w:bidi="ar-SA"/>
        </w:rPr>
      </w:pPr>
      <w:r w:rsidRPr="00584AF3">
        <w:rPr>
          <w:sz w:val="20"/>
          <w:szCs w:val="20"/>
          <w:lang w:bidi="ar-SA"/>
        </w:rPr>
        <w:t>Dated [To be completed by Standards Management Officer]</w:t>
      </w:r>
    </w:p>
    <w:p w14:paraId="033253B8" w14:textId="77777777" w:rsidR="002F070F" w:rsidRPr="00584AF3" w:rsidRDefault="002F070F" w:rsidP="002F070F">
      <w:pPr>
        <w:tabs>
          <w:tab w:val="left" w:pos="851"/>
        </w:tabs>
        <w:rPr>
          <w:sz w:val="20"/>
          <w:szCs w:val="20"/>
          <w:lang w:bidi="ar-SA"/>
        </w:rPr>
      </w:pPr>
    </w:p>
    <w:p w14:paraId="3CC263F4" w14:textId="77777777" w:rsidR="002F070F" w:rsidRPr="00584AF3" w:rsidRDefault="002F070F" w:rsidP="002F070F">
      <w:pPr>
        <w:tabs>
          <w:tab w:val="left" w:pos="851"/>
        </w:tabs>
        <w:rPr>
          <w:sz w:val="20"/>
          <w:szCs w:val="20"/>
          <w:lang w:bidi="ar-SA"/>
        </w:rPr>
      </w:pPr>
    </w:p>
    <w:p w14:paraId="088164A2" w14:textId="77777777" w:rsidR="002F070F" w:rsidRPr="00584AF3" w:rsidRDefault="002F070F" w:rsidP="002F070F">
      <w:pPr>
        <w:tabs>
          <w:tab w:val="left" w:pos="851"/>
        </w:tabs>
        <w:rPr>
          <w:sz w:val="20"/>
          <w:szCs w:val="20"/>
          <w:lang w:bidi="ar-SA"/>
        </w:rPr>
      </w:pPr>
    </w:p>
    <w:p w14:paraId="66FE4EED" w14:textId="77777777" w:rsidR="002F070F" w:rsidRPr="00584AF3" w:rsidRDefault="002F070F" w:rsidP="002F070F">
      <w:pPr>
        <w:tabs>
          <w:tab w:val="left" w:pos="851"/>
        </w:tabs>
        <w:rPr>
          <w:sz w:val="20"/>
          <w:szCs w:val="20"/>
          <w:lang w:bidi="ar-SA"/>
        </w:rPr>
      </w:pPr>
    </w:p>
    <w:p w14:paraId="4526BD27" w14:textId="77777777" w:rsidR="002F070F" w:rsidRPr="00584AF3" w:rsidRDefault="002F070F" w:rsidP="002F070F">
      <w:pPr>
        <w:tabs>
          <w:tab w:val="left" w:pos="851"/>
        </w:tabs>
        <w:rPr>
          <w:sz w:val="20"/>
          <w:szCs w:val="20"/>
          <w:lang w:bidi="ar-SA"/>
        </w:rPr>
      </w:pPr>
    </w:p>
    <w:p w14:paraId="7A335FF3" w14:textId="77777777" w:rsidR="002F070F" w:rsidRPr="00584AF3" w:rsidRDefault="002F070F" w:rsidP="002F070F">
      <w:pPr>
        <w:tabs>
          <w:tab w:val="left" w:pos="851"/>
        </w:tabs>
        <w:rPr>
          <w:sz w:val="20"/>
          <w:szCs w:val="20"/>
          <w:lang w:bidi="ar-SA"/>
        </w:rPr>
      </w:pPr>
      <w:r w:rsidRPr="00584AF3">
        <w:rPr>
          <w:sz w:val="20"/>
          <w:szCs w:val="20"/>
          <w:lang w:bidi="ar-SA"/>
        </w:rPr>
        <w:t>Standards Management Officer</w:t>
      </w:r>
    </w:p>
    <w:p w14:paraId="1FF4E4DD" w14:textId="77777777" w:rsidR="002F070F" w:rsidRPr="00584AF3" w:rsidRDefault="002F070F" w:rsidP="002F070F">
      <w:pPr>
        <w:tabs>
          <w:tab w:val="left" w:pos="851"/>
        </w:tabs>
        <w:rPr>
          <w:sz w:val="20"/>
          <w:szCs w:val="20"/>
          <w:lang w:bidi="ar-SA"/>
        </w:rPr>
      </w:pPr>
      <w:r w:rsidRPr="00584AF3">
        <w:rPr>
          <w:sz w:val="20"/>
          <w:szCs w:val="20"/>
          <w:lang w:bidi="ar-SA"/>
        </w:rPr>
        <w:t>Delegate of the Board of Food Standards Australia New Zealand</w:t>
      </w:r>
    </w:p>
    <w:p w14:paraId="10FCC83B" w14:textId="77777777" w:rsidR="002F070F" w:rsidRPr="00584AF3" w:rsidRDefault="002F070F" w:rsidP="002F070F">
      <w:pPr>
        <w:tabs>
          <w:tab w:val="left" w:pos="851"/>
        </w:tabs>
        <w:rPr>
          <w:sz w:val="20"/>
          <w:szCs w:val="20"/>
          <w:lang w:bidi="ar-SA"/>
        </w:rPr>
      </w:pPr>
    </w:p>
    <w:p w14:paraId="4C9A4005" w14:textId="77777777" w:rsidR="002F070F" w:rsidRPr="00584AF3" w:rsidRDefault="002F070F" w:rsidP="002F070F">
      <w:pPr>
        <w:tabs>
          <w:tab w:val="left" w:pos="851"/>
        </w:tabs>
        <w:rPr>
          <w:sz w:val="20"/>
          <w:szCs w:val="20"/>
          <w:lang w:bidi="ar-SA"/>
        </w:rPr>
      </w:pPr>
    </w:p>
    <w:p w14:paraId="5496EFAF" w14:textId="77777777" w:rsidR="002F070F" w:rsidRPr="00584AF3" w:rsidRDefault="002F070F" w:rsidP="002F070F">
      <w:pPr>
        <w:tabs>
          <w:tab w:val="left" w:pos="851"/>
        </w:tabs>
        <w:rPr>
          <w:sz w:val="20"/>
          <w:szCs w:val="20"/>
          <w:lang w:bidi="ar-SA"/>
        </w:rPr>
      </w:pPr>
    </w:p>
    <w:p w14:paraId="3D75EDAF" w14:textId="77777777" w:rsidR="002F070F" w:rsidRPr="00584AF3" w:rsidRDefault="002F070F" w:rsidP="002F070F">
      <w:pPr>
        <w:tabs>
          <w:tab w:val="left" w:pos="851"/>
        </w:tabs>
        <w:rPr>
          <w:sz w:val="20"/>
          <w:szCs w:val="20"/>
          <w:lang w:bidi="ar-SA"/>
        </w:rPr>
      </w:pPr>
    </w:p>
    <w:p w14:paraId="702C15A2" w14:textId="77777777" w:rsidR="002F070F" w:rsidRPr="00584AF3" w:rsidRDefault="002F070F" w:rsidP="002F070F">
      <w:pPr>
        <w:tabs>
          <w:tab w:val="left" w:pos="851"/>
        </w:tabs>
        <w:rPr>
          <w:sz w:val="20"/>
          <w:szCs w:val="20"/>
          <w:lang w:bidi="ar-SA"/>
        </w:rPr>
      </w:pPr>
    </w:p>
    <w:p w14:paraId="6646D77E" w14:textId="77777777" w:rsidR="002F070F" w:rsidRPr="00584AF3" w:rsidRDefault="002F070F" w:rsidP="002F070F">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584AF3">
        <w:rPr>
          <w:b/>
          <w:sz w:val="20"/>
          <w:szCs w:val="20"/>
          <w:lang w:val="en-AU" w:bidi="ar-SA"/>
        </w:rPr>
        <w:t xml:space="preserve">Note:  </w:t>
      </w:r>
    </w:p>
    <w:p w14:paraId="46C5EF57" w14:textId="77777777" w:rsidR="002F070F" w:rsidRPr="00584AF3" w:rsidRDefault="002F070F" w:rsidP="002F070F">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327BAC08" w14:textId="77777777" w:rsidR="002F070F" w:rsidRPr="00584AF3" w:rsidRDefault="002F070F" w:rsidP="002F070F">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584AF3">
        <w:rPr>
          <w:sz w:val="20"/>
          <w:szCs w:val="20"/>
          <w:lang w:val="en-AU" w:bidi="ar-SA"/>
        </w:rPr>
        <w:t xml:space="preserve">This variation will be published in the Commonwealth of Australia Gazette No. FSC </w:t>
      </w:r>
      <w:r w:rsidRPr="00584AF3">
        <w:rPr>
          <w:color w:val="FF0000"/>
          <w:sz w:val="20"/>
          <w:szCs w:val="20"/>
          <w:lang w:val="en-AU" w:bidi="ar-SA"/>
        </w:rPr>
        <w:t>XX on XX Month 20XX</w:t>
      </w:r>
      <w:r w:rsidRPr="00584AF3">
        <w:rPr>
          <w:sz w:val="20"/>
          <w:szCs w:val="20"/>
          <w:lang w:val="en-AU" w:bidi="ar-SA"/>
        </w:rPr>
        <w:t xml:space="preserve">. This means that this date is the gazettal date for the purposes of clause 3 of the variation. </w:t>
      </w:r>
    </w:p>
    <w:p w14:paraId="4D837710" w14:textId="77777777" w:rsidR="002F070F" w:rsidRPr="00584AF3" w:rsidRDefault="002F070F" w:rsidP="002F070F">
      <w:pPr>
        <w:tabs>
          <w:tab w:val="left" w:pos="851"/>
        </w:tabs>
        <w:rPr>
          <w:sz w:val="20"/>
          <w:szCs w:val="20"/>
          <w:lang w:bidi="ar-SA"/>
        </w:rPr>
      </w:pPr>
    </w:p>
    <w:p w14:paraId="477B7794" w14:textId="77777777" w:rsidR="002F070F" w:rsidRPr="00584AF3" w:rsidRDefault="002F070F" w:rsidP="002F070F">
      <w:pPr>
        <w:widowControl/>
        <w:rPr>
          <w:sz w:val="20"/>
          <w:szCs w:val="20"/>
          <w:lang w:bidi="ar-SA"/>
        </w:rPr>
      </w:pPr>
      <w:r w:rsidRPr="00584AF3">
        <w:rPr>
          <w:sz w:val="20"/>
          <w:szCs w:val="20"/>
          <w:lang w:bidi="ar-SA"/>
        </w:rPr>
        <w:br w:type="page"/>
      </w:r>
    </w:p>
    <w:p w14:paraId="66A74FA4" w14:textId="77777777" w:rsidR="002F070F" w:rsidRPr="00584AF3" w:rsidRDefault="002F070F" w:rsidP="002F070F">
      <w:pPr>
        <w:tabs>
          <w:tab w:val="left" w:pos="851"/>
        </w:tabs>
        <w:rPr>
          <w:b/>
          <w:sz w:val="20"/>
          <w:szCs w:val="20"/>
          <w:lang w:bidi="ar-SA"/>
        </w:rPr>
      </w:pPr>
      <w:r w:rsidRPr="00584AF3">
        <w:rPr>
          <w:b/>
          <w:sz w:val="20"/>
          <w:szCs w:val="20"/>
          <w:lang w:bidi="ar-SA"/>
        </w:rPr>
        <w:lastRenderedPageBreak/>
        <w:t>1</w:t>
      </w:r>
      <w:r w:rsidRPr="00584AF3">
        <w:rPr>
          <w:b/>
          <w:sz w:val="20"/>
          <w:szCs w:val="20"/>
          <w:lang w:bidi="ar-SA"/>
        </w:rPr>
        <w:tab/>
        <w:t>Name</w:t>
      </w:r>
    </w:p>
    <w:p w14:paraId="3BA72F7A" w14:textId="77777777" w:rsidR="002F070F" w:rsidRPr="00584AF3" w:rsidRDefault="002F070F" w:rsidP="002F070F">
      <w:pPr>
        <w:tabs>
          <w:tab w:val="left" w:pos="851"/>
        </w:tabs>
        <w:rPr>
          <w:sz w:val="20"/>
          <w:szCs w:val="20"/>
          <w:lang w:bidi="ar-SA"/>
        </w:rPr>
      </w:pPr>
    </w:p>
    <w:p w14:paraId="17D5408D" w14:textId="77777777" w:rsidR="002F070F" w:rsidRPr="00584AF3" w:rsidRDefault="002F070F" w:rsidP="002F070F">
      <w:pPr>
        <w:tabs>
          <w:tab w:val="left" w:pos="851"/>
        </w:tabs>
        <w:rPr>
          <w:sz w:val="20"/>
          <w:szCs w:val="20"/>
          <w:lang w:bidi="ar-SA"/>
        </w:rPr>
      </w:pPr>
      <w:r w:rsidRPr="00584AF3">
        <w:rPr>
          <w:sz w:val="20"/>
          <w:szCs w:val="20"/>
          <w:lang w:bidi="ar-SA"/>
        </w:rPr>
        <w:t xml:space="preserve">This instrument is the </w:t>
      </w:r>
      <w:r w:rsidRPr="00584AF3">
        <w:rPr>
          <w:i/>
          <w:sz w:val="20"/>
          <w:szCs w:val="20"/>
          <w:lang w:bidi="ar-SA"/>
        </w:rPr>
        <w:t xml:space="preserve">Food Standards (Proposal P1037 – Amendments associated with </w:t>
      </w:r>
      <w:r>
        <w:rPr>
          <w:i/>
          <w:sz w:val="20"/>
          <w:szCs w:val="20"/>
          <w:lang w:bidi="ar-SA"/>
        </w:rPr>
        <w:t xml:space="preserve">Nutrition Content &amp; </w:t>
      </w:r>
      <w:r w:rsidRPr="00584AF3">
        <w:rPr>
          <w:i/>
          <w:sz w:val="20"/>
          <w:szCs w:val="20"/>
          <w:lang w:bidi="ar-SA"/>
        </w:rPr>
        <w:t>Health Claims) Variation</w:t>
      </w:r>
      <w:r w:rsidRPr="00584AF3">
        <w:rPr>
          <w:sz w:val="20"/>
          <w:szCs w:val="20"/>
          <w:lang w:bidi="ar-SA"/>
        </w:rPr>
        <w:t>.</w:t>
      </w:r>
    </w:p>
    <w:p w14:paraId="6B1A23E8" w14:textId="77777777" w:rsidR="002F070F" w:rsidRPr="00584AF3" w:rsidRDefault="002F070F" w:rsidP="002F070F">
      <w:pPr>
        <w:tabs>
          <w:tab w:val="left" w:pos="851"/>
        </w:tabs>
        <w:rPr>
          <w:sz w:val="20"/>
          <w:szCs w:val="20"/>
          <w:lang w:bidi="ar-SA"/>
        </w:rPr>
      </w:pPr>
    </w:p>
    <w:p w14:paraId="64E06E72" w14:textId="77777777" w:rsidR="002F070F" w:rsidRPr="00584AF3" w:rsidRDefault="002F070F" w:rsidP="002F070F">
      <w:pPr>
        <w:ind w:left="851" w:hanging="851"/>
        <w:rPr>
          <w:b/>
          <w:sz w:val="20"/>
          <w:szCs w:val="20"/>
          <w:lang w:bidi="ar-SA"/>
        </w:rPr>
      </w:pPr>
      <w:r w:rsidRPr="00584AF3">
        <w:rPr>
          <w:b/>
          <w:sz w:val="20"/>
          <w:szCs w:val="20"/>
          <w:lang w:bidi="ar-SA"/>
        </w:rPr>
        <w:t>2</w:t>
      </w:r>
      <w:r w:rsidRPr="00584AF3">
        <w:rPr>
          <w:b/>
          <w:sz w:val="20"/>
          <w:szCs w:val="20"/>
          <w:lang w:bidi="ar-SA"/>
        </w:rPr>
        <w:tab/>
        <w:t xml:space="preserve">Variation to Standards in the </w:t>
      </w:r>
      <w:r w:rsidRPr="00584AF3">
        <w:rPr>
          <w:b/>
          <w:i/>
          <w:sz w:val="20"/>
          <w:szCs w:val="20"/>
          <w:lang w:bidi="ar-SA"/>
        </w:rPr>
        <w:t>Australia New Zealand Food Standards Code</w:t>
      </w:r>
    </w:p>
    <w:p w14:paraId="10F9EC4D" w14:textId="77777777" w:rsidR="002F070F" w:rsidRPr="00584AF3" w:rsidRDefault="002F070F" w:rsidP="002F070F">
      <w:pPr>
        <w:tabs>
          <w:tab w:val="left" w:pos="851"/>
        </w:tabs>
        <w:rPr>
          <w:sz w:val="20"/>
          <w:szCs w:val="20"/>
          <w:lang w:bidi="ar-SA"/>
        </w:rPr>
      </w:pPr>
    </w:p>
    <w:p w14:paraId="5EEAF420" w14:textId="77777777" w:rsidR="002F070F" w:rsidRPr="00584AF3" w:rsidRDefault="002F070F" w:rsidP="002F070F">
      <w:pPr>
        <w:tabs>
          <w:tab w:val="left" w:pos="851"/>
        </w:tabs>
        <w:rPr>
          <w:sz w:val="20"/>
          <w:szCs w:val="20"/>
          <w:lang w:bidi="ar-SA"/>
        </w:rPr>
      </w:pPr>
      <w:r w:rsidRPr="00584AF3">
        <w:rPr>
          <w:sz w:val="20"/>
          <w:szCs w:val="20"/>
          <w:lang w:bidi="ar-SA"/>
        </w:rPr>
        <w:t xml:space="preserve">The Schedule varies the Standards in the </w:t>
      </w:r>
      <w:r w:rsidRPr="00584AF3">
        <w:rPr>
          <w:i/>
          <w:sz w:val="20"/>
          <w:szCs w:val="20"/>
          <w:lang w:bidi="ar-SA"/>
        </w:rPr>
        <w:t>Australia New Zealand Food Standards Code</w:t>
      </w:r>
      <w:r w:rsidRPr="00584AF3">
        <w:rPr>
          <w:sz w:val="20"/>
          <w:szCs w:val="20"/>
          <w:lang w:bidi="ar-SA"/>
        </w:rPr>
        <w:t>.</w:t>
      </w:r>
    </w:p>
    <w:p w14:paraId="76A46BA1" w14:textId="77777777" w:rsidR="002F070F" w:rsidRPr="00584AF3" w:rsidRDefault="002F070F" w:rsidP="002F070F">
      <w:pPr>
        <w:tabs>
          <w:tab w:val="left" w:pos="851"/>
        </w:tabs>
        <w:rPr>
          <w:sz w:val="20"/>
          <w:szCs w:val="20"/>
          <w:lang w:bidi="ar-SA"/>
        </w:rPr>
      </w:pPr>
    </w:p>
    <w:p w14:paraId="1CC1F0EF" w14:textId="77777777" w:rsidR="002F070F" w:rsidRPr="00584AF3" w:rsidRDefault="002F070F" w:rsidP="002F070F">
      <w:pPr>
        <w:tabs>
          <w:tab w:val="left" w:pos="851"/>
        </w:tabs>
        <w:rPr>
          <w:b/>
          <w:sz w:val="20"/>
          <w:szCs w:val="20"/>
          <w:lang w:bidi="ar-SA"/>
        </w:rPr>
      </w:pPr>
      <w:r w:rsidRPr="00584AF3">
        <w:rPr>
          <w:b/>
          <w:sz w:val="20"/>
          <w:szCs w:val="20"/>
          <w:lang w:bidi="ar-SA"/>
        </w:rPr>
        <w:t>3</w:t>
      </w:r>
      <w:r w:rsidRPr="00584AF3">
        <w:rPr>
          <w:b/>
          <w:sz w:val="20"/>
          <w:szCs w:val="20"/>
          <w:lang w:bidi="ar-SA"/>
        </w:rPr>
        <w:tab/>
        <w:t>Commencement</w:t>
      </w:r>
    </w:p>
    <w:p w14:paraId="5744B473" w14:textId="77777777" w:rsidR="002F070F" w:rsidRPr="00584AF3" w:rsidRDefault="002F070F" w:rsidP="002F070F">
      <w:pPr>
        <w:tabs>
          <w:tab w:val="left" w:pos="851"/>
        </w:tabs>
        <w:rPr>
          <w:sz w:val="20"/>
          <w:szCs w:val="20"/>
          <w:lang w:bidi="ar-SA"/>
        </w:rPr>
      </w:pPr>
    </w:p>
    <w:p w14:paraId="01CB7F64" w14:textId="77777777" w:rsidR="002F070F" w:rsidRPr="0023531E" w:rsidRDefault="002F070F" w:rsidP="002F070F">
      <w:pPr>
        <w:tabs>
          <w:tab w:val="left" w:pos="851"/>
        </w:tabs>
        <w:rPr>
          <w:sz w:val="20"/>
          <w:szCs w:val="20"/>
          <w:lang w:bidi="ar-SA"/>
        </w:rPr>
      </w:pPr>
      <w:r w:rsidRPr="0023531E">
        <w:rPr>
          <w:sz w:val="20"/>
          <w:szCs w:val="20"/>
          <w:lang w:bidi="ar-SA"/>
        </w:rPr>
        <w:t>The variation commences on the date of gazettal.</w:t>
      </w:r>
    </w:p>
    <w:p w14:paraId="76E2CA1C" w14:textId="77777777" w:rsidR="002F070F" w:rsidRPr="00584AF3" w:rsidRDefault="002F070F" w:rsidP="002F070F">
      <w:pPr>
        <w:tabs>
          <w:tab w:val="left" w:pos="851"/>
        </w:tabs>
        <w:jc w:val="center"/>
        <w:rPr>
          <w:b/>
          <w:caps/>
          <w:sz w:val="20"/>
          <w:szCs w:val="20"/>
          <w:lang w:bidi="ar-SA"/>
        </w:rPr>
      </w:pPr>
    </w:p>
    <w:p w14:paraId="75708982" w14:textId="77777777" w:rsidR="002F070F" w:rsidRPr="00584AF3" w:rsidRDefault="002F070F" w:rsidP="002F070F">
      <w:pPr>
        <w:tabs>
          <w:tab w:val="left" w:pos="851"/>
        </w:tabs>
        <w:jc w:val="center"/>
        <w:rPr>
          <w:b/>
          <w:caps/>
          <w:sz w:val="20"/>
          <w:szCs w:val="20"/>
          <w:lang w:bidi="ar-SA"/>
        </w:rPr>
      </w:pPr>
      <w:r w:rsidRPr="00584AF3">
        <w:rPr>
          <w:b/>
          <w:caps/>
          <w:sz w:val="20"/>
          <w:szCs w:val="20"/>
          <w:lang w:bidi="ar-SA"/>
        </w:rPr>
        <w:t>SCHEDULE</w:t>
      </w:r>
    </w:p>
    <w:p w14:paraId="79584239" w14:textId="77777777" w:rsidR="002F070F" w:rsidRPr="00584AF3" w:rsidRDefault="002F070F" w:rsidP="002F070F">
      <w:pPr>
        <w:tabs>
          <w:tab w:val="left" w:pos="851"/>
        </w:tabs>
        <w:rPr>
          <w:sz w:val="20"/>
          <w:szCs w:val="20"/>
          <w:lang w:bidi="ar-SA"/>
        </w:rPr>
      </w:pPr>
    </w:p>
    <w:p w14:paraId="4C102297" w14:textId="21CE5892" w:rsidR="00BD1B22" w:rsidRDefault="002F070F" w:rsidP="002F070F">
      <w:pPr>
        <w:tabs>
          <w:tab w:val="left" w:pos="851"/>
        </w:tabs>
        <w:rPr>
          <w:iCs/>
        </w:rPr>
      </w:pPr>
      <w:r w:rsidRPr="00584AF3">
        <w:rPr>
          <w:b/>
          <w:bCs/>
          <w:sz w:val="20"/>
          <w:szCs w:val="20"/>
        </w:rPr>
        <w:t>[1]</w:t>
      </w:r>
      <w:r w:rsidRPr="00584AF3">
        <w:rPr>
          <w:sz w:val="20"/>
          <w:szCs w:val="20"/>
        </w:rPr>
        <w:tab/>
      </w:r>
      <w:r w:rsidRPr="00584AF3">
        <w:rPr>
          <w:b/>
          <w:bCs/>
          <w:iCs/>
          <w:sz w:val="20"/>
          <w:szCs w:val="20"/>
        </w:rPr>
        <w:t>Standard 1.1.1</w:t>
      </w:r>
      <w:r w:rsidRPr="00584AF3">
        <w:rPr>
          <w:iCs/>
          <w:sz w:val="20"/>
          <w:szCs w:val="20"/>
        </w:rPr>
        <w:t xml:space="preserve"> is varied by</w:t>
      </w:r>
      <w:r w:rsidR="00BD1B22">
        <w:rPr>
          <w:iCs/>
          <w:sz w:val="20"/>
          <w:szCs w:val="20"/>
        </w:rPr>
        <w:t xml:space="preserve"> –</w:t>
      </w:r>
    </w:p>
    <w:p w14:paraId="525F2690" w14:textId="77777777" w:rsidR="002F070F" w:rsidRDefault="002F070F" w:rsidP="002F070F">
      <w:pPr>
        <w:pStyle w:val="Subclause"/>
      </w:pPr>
    </w:p>
    <w:p w14:paraId="27573C61" w14:textId="77777777" w:rsidR="002F070F" w:rsidRDefault="002F070F" w:rsidP="002F070F">
      <w:pPr>
        <w:tabs>
          <w:tab w:val="left" w:pos="851"/>
        </w:tabs>
        <w:rPr>
          <w:iCs/>
          <w:sz w:val="20"/>
          <w:szCs w:val="20"/>
        </w:rPr>
      </w:pPr>
      <w:r w:rsidRPr="00584AF3">
        <w:rPr>
          <w:iCs/>
          <w:sz w:val="20"/>
          <w:szCs w:val="20"/>
        </w:rPr>
        <w:t>[1.1]</w:t>
      </w:r>
      <w:r w:rsidRPr="00584AF3">
        <w:rPr>
          <w:iCs/>
          <w:sz w:val="20"/>
          <w:szCs w:val="20"/>
        </w:rPr>
        <w:tab/>
      </w:r>
      <w:r>
        <w:rPr>
          <w:iCs/>
          <w:sz w:val="20"/>
          <w:szCs w:val="20"/>
        </w:rPr>
        <w:t>inserting after clause 1 –</w:t>
      </w:r>
    </w:p>
    <w:p w14:paraId="58B41573" w14:textId="77777777" w:rsidR="002F070F" w:rsidRDefault="002F070F" w:rsidP="002F070F">
      <w:pPr>
        <w:tabs>
          <w:tab w:val="left" w:pos="851"/>
        </w:tabs>
        <w:rPr>
          <w:iCs/>
          <w:sz w:val="20"/>
          <w:szCs w:val="20"/>
        </w:rPr>
      </w:pPr>
    </w:p>
    <w:p w14:paraId="0FA7D02C" w14:textId="77777777" w:rsidR="002F070F" w:rsidRPr="00080437" w:rsidRDefault="002F070F" w:rsidP="002F070F">
      <w:pPr>
        <w:pStyle w:val="Clauseheading"/>
      </w:pPr>
      <w:r w:rsidRPr="000B0287">
        <w:rPr>
          <w:b w:val="0"/>
        </w:rPr>
        <w:t>“</w:t>
      </w:r>
      <w:r w:rsidRPr="00080437">
        <w:t>1</w:t>
      </w:r>
      <w:r>
        <w:t>A</w:t>
      </w:r>
      <w:r w:rsidRPr="00080437">
        <w:tab/>
      </w:r>
      <w:r>
        <w:t>Application of the Code to prescribed variations</w:t>
      </w:r>
    </w:p>
    <w:p w14:paraId="33E9D0F9" w14:textId="77777777" w:rsidR="002F070F" w:rsidRPr="00080437" w:rsidRDefault="002F070F" w:rsidP="002F070F">
      <w:pPr>
        <w:pStyle w:val="Subclause"/>
      </w:pPr>
    </w:p>
    <w:p w14:paraId="2C02A1A5" w14:textId="77777777" w:rsidR="002F070F" w:rsidRDefault="002F070F" w:rsidP="002F070F">
      <w:pPr>
        <w:pStyle w:val="Subclause"/>
      </w:pPr>
      <w:r>
        <w:t>(1)</w:t>
      </w:r>
      <w:r>
        <w:tab/>
      </w:r>
      <w:r w:rsidRPr="00080437">
        <w:t xml:space="preserve">For the purposes of </w:t>
      </w:r>
      <w:r>
        <w:t>this clause –</w:t>
      </w:r>
    </w:p>
    <w:p w14:paraId="7C0011D3" w14:textId="77777777" w:rsidR="002F070F" w:rsidRDefault="002F070F" w:rsidP="002F070F">
      <w:pPr>
        <w:pStyle w:val="Clause"/>
        <w:rPr>
          <w:b/>
        </w:rPr>
      </w:pPr>
    </w:p>
    <w:p w14:paraId="29B8D885" w14:textId="77777777" w:rsidR="002F070F" w:rsidRPr="0023531E" w:rsidRDefault="002F070F" w:rsidP="002F070F">
      <w:pPr>
        <w:pStyle w:val="Clause"/>
        <w:ind w:left="1701" w:hanging="850"/>
      </w:pPr>
      <w:r>
        <w:rPr>
          <w:b/>
        </w:rPr>
        <w:t>prescribed variations</w:t>
      </w:r>
      <w:r>
        <w:t xml:space="preserve"> means the variations to the Code made by the Variation other than the variations made by items 1.2, 2.3 and 3.1 of the Schedule to the Variation.</w:t>
      </w:r>
    </w:p>
    <w:p w14:paraId="33572C60" w14:textId="77777777" w:rsidR="002F070F" w:rsidRDefault="002F070F" w:rsidP="002F070F">
      <w:pPr>
        <w:pStyle w:val="Clause"/>
        <w:ind w:left="1701" w:hanging="850"/>
        <w:rPr>
          <w:b/>
        </w:rPr>
      </w:pPr>
    </w:p>
    <w:p w14:paraId="324E3259" w14:textId="77777777" w:rsidR="002F070F" w:rsidRDefault="002F070F" w:rsidP="002F070F">
      <w:pPr>
        <w:pStyle w:val="Clause"/>
        <w:ind w:left="1701" w:hanging="850"/>
      </w:pPr>
      <w:r w:rsidRPr="00080437">
        <w:rPr>
          <w:b/>
        </w:rPr>
        <w:t>transitional period</w:t>
      </w:r>
      <w:r w:rsidRPr="00080437">
        <w:t xml:space="preserve"> means the period of time that commences on </w:t>
      </w:r>
      <w:r>
        <w:t xml:space="preserve">the date that the Variation commenced </w:t>
      </w:r>
      <w:r w:rsidRPr="00080437">
        <w:t xml:space="preserve">and ends on </w:t>
      </w:r>
      <w:r>
        <w:t>18</w:t>
      </w:r>
      <w:r w:rsidRPr="00080437">
        <w:t xml:space="preserve"> January 201</w:t>
      </w:r>
      <w:r>
        <w:t>7.</w:t>
      </w:r>
    </w:p>
    <w:p w14:paraId="7CEE4124" w14:textId="77777777" w:rsidR="002F070F" w:rsidRDefault="002F070F" w:rsidP="002F070F">
      <w:pPr>
        <w:pStyle w:val="Subclause"/>
      </w:pPr>
    </w:p>
    <w:p w14:paraId="5B4606DA" w14:textId="77777777" w:rsidR="002F070F" w:rsidRPr="0053202C" w:rsidRDefault="002F070F" w:rsidP="002F070F">
      <w:pPr>
        <w:tabs>
          <w:tab w:val="left" w:pos="851"/>
        </w:tabs>
        <w:ind w:left="1701" w:hanging="850"/>
      </w:pPr>
      <w:r w:rsidRPr="0023531E">
        <w:rPr>
          <w:b/>
          <w:sz w:val="20"/>
          <w:szCs w:val="20"/>
        </w:rPr>
        <w:t>the Variation</w:t>
      </w:r>
      <w:r w:rsidRPr="0053202C">
        <w:rPr>
          <w:sz w:val="20"/>
          <w:szCs w:val="20"/>
        </w:rPr>
        <w:t xml:space="preserve"> means the </w:t>
      </w:r>
      <w:r w:rsidRPr="0053202C">
        <w:rPr>
          <w:i/>
          <w:sz w:val="20"/>
          <w:szCs w:val="20"/>
        </w:rPr>
        <w:t xml:space="preserve">Food Standards (Proposal P1037 – Amendments associated with Nutrition </w:t>
      </w:r>
      <w:r>
        <w:rPr>
          <w:i/>
          <w:sz w:val="20"/>
          <w:szCs w:val="20"/>
        </w:rPr>
        <w:t xml:space="preserve">Content &amp; Health </w:t>
      </w:r>
      <w:r w:rsidRPr="0053202C">
        <w:rPr>
          <w:i/>
          <w:sz w:val="20"/>
          <w:szCs w:val="20"/>
        </w:rPr>
        <w:t>Claims) Variation</w:t>
      </w:r>
      <w:r>
        <w:rPr>
          <w:i/>
          <w:sz w:val="20"/>
          <w:szCs w:val="20"/>
        </w:rPr>
        <w:t>.</w:t>
      </w:r>
    </w:p>
    <w:p w14:paraId="2881ADF1" w14:textId="77777777" w:rsidR="002F070F" w:rsidRPr="00080437" w:rsidRDefault="002F070F" w:rsidP="002F070F">
      <w:pPr>
        <w:pStyle w:val="Subclause"/>
      </w:pPr>
    </w:p>
    <w:p w14:paraId="11FABABD" w14:textId="77777777" w:rsidR="002F070F" w:rsidRDefault="002F070F" w:rsidP="002F070F">
      <w:pPr>
        <w:pStyle w:val="Subclause"/>
      </w:pPr>
      <w:r>
        <w:t>(2)</w:t>
      </w:r>
      <w:r>
        <w:tab/>
      </w:r>
      <w:r w:rsidRPr="00080437">
        <w:t xml:space="preserve">Subclause 1(2) of </w:t>
      </w:r>
      <w:r>
        <w:t>this Standard</w:t>
      </w:r>
      <w:r w:rsidRPr="00080437">
        <w:t xml:space="preserve"> does not apply to </w:t>
      </w:r>
      <w:r>
        <w:t>the prescribed variations.</w:t>
      </w:r>
    </w:p>
    <w:p w14:paraId="5ADAA360" w14:textId="77777777" w:rsidR="002F070F" w:rsidRPr="00080437" w:rsidRDefault="002F070F" w:rsidP="002F070F">
      <w:pPr>
        <w:pStyle w:val="Subclause"/>
      </w:pPr>
    </w:p>
    <w:p w14:paraId="10BA74FE" w14:textId="77777777" w:rsidR="002F070F" w:rsidRPr="00080437" w:rsidRDefault="002F070F" w:rsidP="002F070F">
      <w:pPr>
        <w:pStyle w:val="Subclause"/>
      </w:pPr>
      <w:r>
        <w:t>(3)</w:t>
      </w:r>
      <w:r>
        <w:tab/>
      </w:r>
      <w:r w:rsidRPr="00080437">
        <w:t xml:space="preserve">During the transition period, </w:t>
      </w:r>
      <w:r>
        <w:rPr>
          <w:rStyle w:val="SubclauseChar"/>
          <w:rFonts w:eastAsiaTheme="majorEastAsia" w:cstheme="minorBidi"/>
        </w:rPr>
        <w:t>a food product</w:t>
      </w:r>
      <w:r w:rsidRPr="00080437">
        <w:t xml:space="preserve"> may comply with either – </w:t>
      </w:r>
    </w:p>
    <w:p w14:paraId="5C26E2F4" w14:textId="77777777" w:rsidR="002F070F" w:rsidRPr="00080437" w:rsidRDefault="002F070F" w:rsidP="002F070F">
      <w:pPr>
        <w:pStyle w:val="Subclause"/>
      </w:pPr>
    </w:p>
    <w:p w14:paraId="5ADD8AB3" w14:textId="77777777" w:rsidR="002F070F" w:rsidRPr="00080437" w:rsidRDefault="002F070F" w:rsidP="002F070F">
      <w:pPr>
        <w:pStyle w:val="Paragraph"/>
      </w:pPr>
      <w:r>
        <w:t>(a)</w:t>
      </w:r>
      <w:r>
        <w:tab/>
        <w:t>the Code as in force without the</w:t>
      </w:r>
      <w:r w:rsidRPr="00080437">
        <w:t xml:space="preserve"> </w:t>
      </w:r>
      <w:r>
        <w:t>prescribed variations</w:t>
      </w:r>
      <w:r w:rsidRPr="00080437">
        <w:t>; or</w:t>
      </w:r>
    </w:p>
    <w:p w14:paraId="001EC9A0" w14:textId="77777777" w:rsidR="002F070F" w:rsidRPr="00080437" w:rsidRDefault="002F070F" w:rsidP="002F070F">
      <w:pPr>
        <w:pStyle w:val="Paragraph"/>
      </w:pPr>
      <w:r>
        <w:t>(b)</w:t>
      </w:r>
      <w:r>
        <w:tab/>
      </w:r>
      <w:r w:rsidRPr="00080437">
        <w:t xml:space="preserve">the Code as </w:t>
      </w:r>
      <w:r>
        <w:t>amended by</w:t>
      </w:r>
      <w:r w:rsidRPr="00080437">
        <w:t xml:space="preserve"> </w:t>
      </w:r>
      <w:r>
        <w:t>the prescribed variations</w:t>
      </w:r>
      <w:r w:rsidRPr="00080437">
        <w:t>,</w:t>
      </w:r>
    </w:p>
    <w:p w14:paraId="3829B560" w14:textId="77777777" w:rsidR="002F070F" w:rsidRPr="00080437" w:rsidRDefault="002F070F" w:rsidP="002F070F">
      <w:pPr>
        <w:rPr>
          <w:sz w:val="20"/>
        </w:rPr>
      </w:pPr>
    </w:p>
    <w:p w14:paraId="331FEAD6" w14:textId="77777777" w:rsidR="002F070F" w:rsidRPr="00080437" w:rsidRDefault="002F070F" w:rsidP="002F070F">
      <w:pPr>
        <w:rPr>
          <w:sz w:val="20"/>
        </w:rPr>
      </w:pPr>
      <w:r w:rsidRPr="00080437">
        <w:rPr>
          <w:sz w:val="20"/>
        </w:rPr>
        <w:t>but not a combination of both.</w:t>
      </w:r>
    </w:p>
    <w:p w14:paraId="6A80D620" w14:textId="77777777" w:rsidR="002F070F" w:rsidRPr="00C50958" w:rsidRDefault="002F070F" w:rsidP="002F070F">
      <w:pPr>
        <w:pStyle w:val="Subclause"/>
      </w:pPr>
    </w:p>
    <w:p w14:paraId="6BA38747" w14:textId="77777777" w:rsidR="002F070F" w:rsidRPr="00C50958" w:rsidRDefault="002F070F" w:rsidP="002F070F">
      <w:pPr>
        <w:pStyle w:val="Subclause"/>
        <w:rPr>
          <w:iCs/>
        </w:rPr>
      </w:pPr>
      <w:r>
        <w:t>(4)</w:t>
      </w:r>
      <w:r>
        <w:tab/>
        <w:t xml:space="preserve">A food product </w:t>
      </w:r>
      <w:r w:rsidRPr="00584AF3">
        <w:t xml:space="preserve">is taken to comply with the Code </w:t>
      </w:r>
      <w:r>
        <w:t>as amended by the prescribed variations</w:t>
      </w:r>
      <w:r w:rsidRPr="00584AF3">
        <w:t xml:space="preserve"> for a period </w:t>
      </w:r>
      <w:r>
        <w:t xml:space="preserve">of 12 months commencing on 18 January 2017 </w:t>
      </w:r>
      <w:r w:rsidRPr="00584AF3">
        <w:t>if the food product otherwise com</w:t>
      </w:r>
      <w:r>
        <w:t>plied with this Code before that date.</w:t>
      </w:r>
      <w:r w:rsidRPr="00C50958">
        <w:rPr>
          <w:iCs/>
        </w:rPr>
        <w:t>”</w:t>
      </w:r>
    </w:p>
    <w:p w14:paraId="7B89A015" w14:textId="77777777" w:rsidR="002F070F" w:rsidRPr="00584AF3" w:rsidRDefault="002F070F" w:rsidP="002F070F">
      <w:pPr>
        <w:pStyle w:val="Subclause"/>
        <w:rPr>
          <w:lang w:bidi="ar-SA"/>
        </w:rPr>
      </w:pPr>
    </w:p>
    <w:p w14:paraId="69CF380B" w14:textId="77777777" w:rsidR="002F070F" w:rsidRPr="00584AF3" w:rsidRDefault="002F070F" w:rsidP="002F070F">
      <w:pPr>
        <w:tabs>
          <w:tab w:val="left" w:pos="851"/>
        </w:tabs>
        <w:rPr>
          <w:iCs/>
          <w:sz w:val="20"/>
          <w:szCs w:val="20"/>
        </w:rPr>
      </w:pPr>
      <w:r w:rsidRPr="00584AF3">
        <w:rPr>
          <w:iCs/>
          <w:sz w:val="20"/>
          <w:szCs w:val="20"/>
        </w:rPr>
        <w:t>[1.2]</w:t>
      </w:r>
      <w:r w:rsidRPr="00584AF3">
        <w:rPr>
          <w:iCs/>
          <w:sz w:val="20"/>
          <w:szCs w:val="20"/>
        </w:rPr>
        <w:tab/>
        <w:t>inserting after clause 2</w:t>
      </w:r>
      <w:r>
        <w:rPr>
          <w:iCs/>
          <w:sz w:val="20"/>
          <w:szCs w:val="20"/>
        </w:rPr>
        <w:t xml:space="preserve"> –</w:t>
      </w:r>
    </w:p>
    <w:p w14:paraId="4DA5E5EC" w14:textId="77777777" w:rsidR="002F070F" w:rsidRPr="00584AF3" w:rsidRDefault="002F070F" w:rsidP="002F070F">
      <w:pPr>
        <w:tabs>
          <w:tab w:val="left" w:pos="851"/>
        </w:tabs>
        <w:rPr>
          <w:iCs/>
          <w:sz w:val="20"/>
          <w:szCs w:val="20"/>
        </w:rPr>
      </w:pPr>
    </w:p>
    <w:p w14:paraId="70726619" w14:textId="77777777" w:rsidR="002F070F" w:rsidRPr="00584AF3" w:rsidRDefault="002F070F" w:rsidP="002F070F">
      <w:pPr>
        <w:tabs>
          <w:tab w:val="left" w:pos="851"/>
        </w:tabs>
        <w:rPr>
          <w:iCs/>
          <w:sz w:val="20"/>
          <w:szCs w:val="20"/>
        </w:rPr>
      </w:pPr>
      <w:r w:rsidRPr="0053202C">
        <w:rPr>
          <w:iCs/>
          <w:sz w:val="20"/>
          <w:szCs w:val="20"/>
        </w:rPr>
        <w:t>“</w:t>
      </w:r>
      <w:r w:rsidRPr="00584AF3">
        <w:rPr>
          <w:b/>
          <w:iCs/>
          <w:sz w:val="20"/>
          <w:szCs w:val="20"/>
        </w:rPr>
        <w:t>2A</w:t>
      </w:r>
      <w:r w:rsidRPr="00584AF3">
        <w:rPr>
          <w:b/>
          <w:iCs/>
          <w:sz w:val="20"/>
          <w:szCs w:val="20"/>
        </w:rPr>
        <w:tab/>
        <w:t>Permitted Health Star Rating symbols</w:t>
      </w:r>
    </w:p>
    <w:p w14:paraId="6FC3C557" w14:textId="77777777" w:rsidR="002F070F" w:rsidRPr="00584AF3" w:rsidRDefault="002F070F" w:rsidP="002F070F">
      <w:pPr>
        <w:tabs>
          <w:tab w:val="left" w:pos="851"/>
        </w:tabs>
        <w:rPr>
          <w:iCs/>
          <w:sz w:val="20"/>
          <w:szCs w:val="20"/>
        </w:rPr>
      </w:pPr>
    </w:p>
    <w:p w14:paraId="447688FA" w14:textId="77777777" w:rsidR="002F070F" w:rsidRDefault="002F070F" w:rsidP="002F070F">
      <w:pPr>
        <w:pStyle w:val="Subclause"/>
        <w:rPr>
          <w:lang w:bidi="ar-SA"/>
        </w:rPr>
      </w:pPr>
      <w:r w:rsidRPr="00584AF3">
        <w:rPr>
          <w:lang w:bidi="ar-SA"/>
        </w:rPr>
        <w:t>(1)</w:t>
      </w:r>
      <w:r w:rsidRPr="00584AF3">
        <w:rPr>
          <w:lang w:bidi="ar-SA"/>
        </w:rPr>
        <w:tab/>
        <w:t xml:space="preserve">In this Code, </w:t>
      </w:r>
      <w:r w:rsidRPr="00584AF3">
        <w:rPr>
          <w:b/>
          <w:lang w:bidi="ar-SA"/>
        </w:rPr>
        <w:t>a Permitted</w:t>
      </w:r>
      <w:r w:rsidRPr="00584AF3">
        <w:rPr>
          <w:rFonts w:eastAsiaTheme="minorHAnsi"/>
          <w:b/>
          <w:lang w:bidi="ar-SA"/>
        </w:rPr>
        <w:t xml:space="preserve"> Health Star Rating </w:t>
      </w:r>
      <w:r w:rsidRPr="00584AF3">
        <w:rPr>
          <w:b/>
          <w:lang w:bidi="ar-SA"/>
        </w:rPr>
        <w:t>symbol</w:t>
      </w:r>
      <w:r w:rsidRPr="00584AF3">
        <w:rPr>
          <w:lang w:bidi="ar-SA"/>
        </w:rPr>
        <w:t xml:space="preserve"> means an image subject to</w:t>
      </w:r>
      <w:r>
        <w:rPr>
          <w:lang w:bidi="ar-SA"/>
        </w:rPr>
        <w:t xml:space="preserve"> any of the following</w:t>
      </w:r>
      <w:r w:rsidRPr="00584AF3">
        <w:rPr>
          <w:lang w:eastAsia="en-GB" w:bidi="ar-SA"/>
        </w:rPr>
        <w:t xml:space="preserve"> </w:t>
      </w:r>
      <w:r>
        <w:rPr>
          <w:lang w:eastAsia="en-GB" w:bidi="ar-SA"/>
        </w:rPr>
        <w:t>–</w:t>
      </w:r>
      <w:r w:rsidRPr="00584AF3">
        <w:rPr>
          <w:lang w:eastAsia="en-GB" w:bidi="ar-SA"/>
        </w:rPr>
        <w:t xml:space="preserve"> </w:t>
      </w:r>
    </w:p>
    <w:p w14:paraId="1271A7BB" w14:textId="77777777" w:rsidR="002F070F" w:rsidRDefault="002F070F" w:rsidP="002F070F">
      <w:pPr>
        <w:tabs>
          <w:tab w:val="left" w:pos="851"/>
        </w:tabs>
        <w:rPr>
          <w:rFonts w:cs="Arial"/>
          <w:sz w:val="20"/>
          <w:szCs w:val="20"/>
          <w:lang w:bidi="ar-SA"/>
        </w:rPr>
      </w:pPr>
    </w:p>
    <w:p w14:paraId="2D3C5A4C" w14:textId="77777777" w:rsidR="002F070F" w:rsidRDefault="002F070F" w:rsidP="002F070F">
      <w:pPr>
        <w:pStyle w:val="Paragraph"/>
        <w:rPr>
          <w:lang w:eastAsia="en-GB" w:bidi="ar-SA"/>
        </w:rPr>
      </w:pPr>
      <w:r>
        <w:rPr>
          <w:lang w:bidi="ar-SA"/>
        </w:rPr>
        <w:t>(a)</w:t>
      </w:r>
      <w:r>
        <w:rPr>
          <w:lang w:bidi="ar-SA"/>
        </w:rPr>
        <w:tab/>
        <w:t xml:space="preserve">an </w:t>
      </w:r>
      <w:r w:rsidRPr="00584AF3">
        <w:rPr>
          <w:lang w:bidi="ar-SA"/>
        </w:rPr>
        <w:t>Australian Trade Mark numbered 1641445, 1641446 or 1641447</w:t>
      </w:r>
      <w:r w:rsidRPr="00584AF3">
        <w:rPr>
          <w:lang w:eastAsia="en-GB" w:bidi="ar-SA"/>
        </w:rPr>
        <w:t>;</w:t>
      </w:r>
    </w:p>
    <w:p w14:paraId="7F60D346" w14:textId="77777777" w:rsidR="002F070F" w:rsidRPr="0023531E" w:rsidRDefault="002F070F" w:rsidP="002F070F">
      <w:pPr>
        <w:pStyle w:val="Paragraph"/>
        <w:rPr>
          <w:lang w:eastAsia="en-GB" w:bidi="ar-SA"/>
        </w:rPr>
      </w:pPr>
      <w:r>
        <w:rPr>
          <w:lang w:bidi="ar-SA"/>
        </w:rPr>
        <w:t>(b)</w:t>
      </w:r>
      <w:r>
        <w:rPr>
          <w:lang w:bidi="ar-SA"/>
        </w:rPr>
        <w:tab/>
        <w:t>a New Zealand Trade Mark</w:t>
      </w:r>
      <w:r w:rsidRPr="00DA3DB7">
        <w:rPr>
          <w:lang w:bidi="ar-SA"/>
        </w:rPr>
        <w:t xml:space="preserve"> numbered </w:t>
      </w:r>
      <w:r>
        <w:t>1018807, 1018808</w:t>
      </w:r>
      <w:r w:rsidRPr="007C1771">
        <w:t xml:space="preserve"> </w:t>
      </w:r>
      <w:r>
        <w:t>or</w:t>
      </w:r>
      <w:r w:rsidRPr="007C1771">
        <w:t xml:space="preserve"> 101880</w:t>
      </w:r>
      <w:r>
        <w:t>9.</w:t>
      </w:r>
      <w:r w:rsidRPr="00584AF3">
        <w:rPr>
          <w:lang w:eastAsia="en-GB" w:bidi="ar-SA"/>
        </w:rPr>
        <w:t xml:space="preserve"> </w:t>
      </w:r>
    </w:p>
    <w:p w14:paraId="40961113" w14:textId="77777777" w:rsidR="002F070F" w:rsidRPr="00584AF3" w:rsidRDefault="002F070F" w:rsidP="002F070F">
      <w:pPr>
        <w:widowControl/>
        <w:tabs>
          <w:tab w:val="left" w:pos="851"/>
        </w:tabs>
        <w:spacing w:before="100" w:beforeAutospacing="1" w:after="100" w:afterAutospacing="1"/>
        <w:rPr>
          <w:rFonts w:cs="Arial"/>
          <w:sz w:val="20"/>
          <w:szCs w:val="20"/>
          <w:lang w:eastAsia="en-GB" w:bidi="ar-SA"/>
        </w:rPr>
      </w:pPr>
      <w:r w:rsidRPr="00584AF3">
        <w:rPr>
          <w:rFonts w:cs="Arial"/>
          <w:sz w:val="20"/>
          <w:szCs w:val="20"/>
          <w:lang w:eastAsia="en-GB" w:bidi="ar-SA"/>
        </w:rPr>
        <w:t>(2)</w:t>
      </w:r>
      <w:r w:rsidRPr="00584AF3">
        <w:rPr>
          <w:rFonts w:cs="Arial"/>
          <w:sz w:val="20"/>
          <w:szCs w:val="20"/>
          <w:lang w:eastAsia="en-GB" w:bidi="ar-SA"/>
        </w:rPr>
        <w:tab/>
        <w:t xml:space="preserve">To avoid doubt, an image mentioned in subclause (1) does not cease to be a Permitted </w:t>
      </w:r>
      <w:r w:rsidRPr="00584AF3">
        <w:rPr>
          <w:rFonts w:eastAsiaTheme="minorHAnsi" w:cs="Arial"/>
          <w:sz w:val="20"/>
          <w:szCs w:val="20"/>
          <w:lang w:eastAsia="en-GB" w:bidi="ar-SA"/>
        </w:rPr>
        <w:t xml:space="preserve">Health Star Rating </w:t>
      </w:r>
      <w:r w:rsidRPr="00584AF3">
        <w:rPr>
          <w:rFonts w:cs="Arial"/>
          <w:sz w:val="20"/>
          <w:szCs w:val="20"/>
          <w:lang w:eastAsia="en-GB" w:bidi="ar-SA"/>
        </w:rPr>
        <w:t xml:space="preserve">symbol </w:t>
      </w:r>
      <w:r w:rsidRPr="00584AF3">
        <w:rPr>
          <w:rFonts w:cs="Arial"/>
          <w:noProof/>
          <w:sz w:val="20"/>
          <w:szCs w:val="20"/>
          <w:lang w:eastAsia="en-GB" w:bidi="ar-SA"/>
        </w:rPr>
        <w:t xml:space="preserve">by </w:t>
      </w:r>
      <w:r w:rsidRPr="00584AF3">
        <w:rPr>
          <w:rFonts w:cs="Arial"/>
          <w:sz w:val="20"/>
          <w:szCs w:val="20"/>
          <w:lang w:eastAsia="en-GB" w:bidi="ar-SA"/>
        </w:rPr>
        <w:t xml:space="preserve">reason only of the image indicating </w:t>
      </w:r>
      <w:r>
        <w:rPr>
          <w:rFonts w:cs="Arial"/>
          <w:sz w:val="20"/>
          <w:szCs w:val="20"/>
          <w:lang w:eastAsia="en-GB" w:bidi="ar-SA"/>
        </w:rPr>
        <w:t>–</w:t>
      </w:r>
      <w:r w:rsidRPr="00584AF3">
        <w:rPr>
          <w:rFonts w:cs="Arial"/>
          <w:sz w:val="20"/>
          <w:szCs w:val="20"/>
          <w:lang w:eastAsia="en-GB" w:bidi="ar-SA"/>
        </w:rPr>
        <w:t xml:space="preserve"> </w:t>
      </w:r>
    </w:p>
    <w:p w14:paraId="5819EE47" w14:textId="77777777" w:rsidR="002F070F" w:rsidRPr="00584AF3" w:rsidRDefault="002F070F" w:rsidP="002F070F">
      <w:pPr>
        <w:pStyle w:val="Paragraph"/>
        <w:rPr>
          <w:lang w:eastAsia="en-GB" w:bidi="ar-SA"/>
        </w:rPr>
      </w:pPr>
      <w:r>
        <w:rPr>
          <w:lang w:eastAsia="en-GB" w:bidi="ar-SA"/>
        </w:rPr>
        <w:t>(a)</w:t>
      </w:r>
      <w:r>
        <w:rPr>
          <w:lang w:eastAsia="en-GB" w:bidi="ar-SA"/>
        </w:rPr>
        <w:tab/>
      </w:r>
      <w:r w:rsidRPr="00584AF3">
        <w:rPr>
          <w:lang w:eastAsia="en-GB" w:bidi="ar-SA"/>
        </w:rPr>
        <w:t>energy or nutrient content on a per 100 g, per 100 ml or per pack basis; or</w:t>
      </w:r>
    </w:p>
    <w:p w14:paraId="75D6F49A" w14:textId="77777777" w:rsidR="002F070F" w:rsidRPr="00584AF3" w:rsidRDefault="002F070F" w:rsidP="002F070F">
      <w:pPr>
        <w:pStyle w:val="Paragraph"/>
        <w:rPr>
          <w:lang w:eastAsia="en-GB" w:bidi="ar-SA"/>
        </w:rPr>
      </w:pPr>
      <w:r>
        <w:rPr>
          <w:lang w:eastAsia="en-GB" w:bidi="ar-SA"/>
        </w:rPr>
        <w:t>(b)</w:t>
      </w:r>
      <w:r>
        <w:rPr>
          <w:lang w:eastAsia="en-GB" w:bidi="ar-SA"/>
        </w:rPr>
        <w:tab/>
      </w:r>
      <w:r w:rsidRPr="00584AF3">
        <w:rPr>
          <w:lang w:eastAsia="en-GB" w:bidi="ar-SA"/>
        </w:rPr>
        <w:t xml:space="preserve">energy or nutrient content </w:t>
      </w:r>
      <w:r>
        <w:rPr>
          <w:lang w:eastAsia="en-GB" w:bidi="ar-SA"/>
        </w:rPr>
        <w:t xml:space="preserve">on a per serving or per reference portion basis; </w:t>
      </w:r>
      <w:r w:rsidRPr="00584AF3">
        <w:rPr>
          <w:lang w:eastAsia="en-GB" w:bidi="ar-SA"/>
        </w:rPr>
        <w:t>or</w:t>
      </w:r>
    </w:p>
    <w:p w14:paraId="5272BDD7" w14:textId="77777777" w:rsidR="002F070F" w:rsidRDefault="002F070F" w:rsidP="002F070F">
      <w:pPr>
        <w:pStyle w:val="Paragraph"/>
        <w:rPr>
          <w:lang w:eastAsia="en-GB" w:bidi="ar-SA"/>
        </w:rPr>
      </w:pPr>
      <w:r>
        <w:rPr>
          <w:lang w:eastAsia="en-GB" w:bidi="ar-SA"/>
        </w:rPr>
        <w:lastRenderedPageBreak/>
        <w:t>(c)</w:t>
      </w:r>
      <w:r>
        <w:rPr>
          <w:lang w:eastAsia="en-GB" w:bidi="ar-SA"/>
        </w:rPr>
        <w:tab/>
      </w:r>
      <w:r w:rsidRPr="00584AF3">
        <w:rPr>
          <w:lang w:eastAsia="en-GB" w:bidi="ar-SA"/>
        </w:rPr>
        <w:t xml:space="preserve">energy or nutrient content </w:t>
      </w:r>
      <w:r>
        <w:rPr>
          <w:lang w:eastAsia="en-GB" w:bidi="ar-SA"/>
        </w:rPr>
        <w:t>at zero or amounts greater than zero</w:t>
      </w:r>
      <w:r w:rsidRPr="00584AF3">
        <w:rPr>
          <w:lang w:eastAsia="en-GB" w:bidi="ar-SA"/>
        </w:rPr>
        <w:t>; or</w:t>
      </w:r>
    </w:p>
    <w:p w14:paraId="16E9D1BA" w14:textId="77777777" w:rsidR="002F070F" w:rsidRPr="00584AF3" w:rsidRDefault="002F070F" w:rsidP="002F070F">
      <w:pPr>
        <w:pStyle w:val="Paragraph"/>
        <w:rPr>
          <w:rFonts w:cs="Arial"/>
          <w:lang w:eastAsia="en-GB" w:bidi="ar-SA"/>
        </w:rPr>
      </w:pPr>
      <w:r>
        <w:rPr>
          <w:lang w:eastAsia="en-GB" w:bidi="ar-SA"/>
        </w:rPr>
        <w:t>(d)</w:t>
      </w:r>
      <w:r>
        <w:rPr>
          <w:lang w:eastAsia="en-GB" w:bidi="ar-SA"/>
        </w:rPr>
        <w:tab/>
      </w:r>
      <w:r w:rsidRPr="00584AF3">
        <w:rPr>
          <w:lang w:eastAsia="en-GB" w:bidi="ar-SA"/>
        </w:rPr>
        <w:t>energy content on a percentage daily intake basis in addition to an amount shown in kilojoules.</w:t>
      </w:r>
      <w:r w:rsidRPr="00584AF3">
        <w:rPr>
          <w:rFonts w:cs="Arial"/>
          <w:lang w:eastAsia="en-GB" w:bidi="ar-SA"/>
        </w:rPr>
        <w:t>”</w:t>
      </w:r>
    </w:p>
    <w:p w14:paraId="231F8046" w14:textId="77777777" w:rsidR="002F070F" w:rsidRPr="00584AF3" w:rsidRDefault="002F070F" w:rsidP="002F070F">
      <w:pPr>
        <w:pStyle w:val="Subclause"/>
      </w:pPr>
    </w:p>
    <w:p w14:paraId="0A88BDA6" w14:textId="77777777" w:rsidR="002F070F" w:rsidRPr="00584AF3" w:rsidRDefault="002F070F" w:rsidP="002F070F">
      <w:pPr>
        <w:pStyle w:val="Subclause"/>
        <w:rPr>
          <w:rFonts w:eastAsiaTheme="minorHAnsi"/>
          <w:lang w:bidi="ar-SA"/>
        </w:rPr>
      </w:pPr>
      <w:r w:rsidRPr="00584AF3">
        <w:rPr>
          <w:rFonts w:eastAsiaTheme="minorHAnsi"/>
          <w:lang w:bidi="ar-SA"/>
        </w:rPr>
        <w:t>[1.3]</w:t>
      </w:r>
      <w:r>
        <w:rPr>
          <w:lang w:bidi="ar-SA"/>
        </w:rPr>
        <w:tab/>
      </w:r>
      <w:r w:rsidRPr="00584AF3">
        <w:rPr>
          <w:lang w:bidi="ar-SA"/>
        </w:rPr>
        <w:t>updating the Table of Provisions to reflect these variations.</w:t>
      </w:r>
    </w:p>
    <w:p w14:paraId="3AE02FF8" w14:textId="77777777" w:rsidR="002F070F" w:rsidRPr="00584AF3" w:rsidRDefault="002F070F" w:rsidP="002F070F">
      <w:pPr>
        <w:pStyle w:val="Subclause"/>
      </w:pPr>
      <w:r w:rsidRPr="00584AF3">
        <w:t xml:space="preserve"> </w:t>
      </w:r>
    </w:p>
    <w:p w14:paraId="459D0C71" w14:textId="77777777" w:rsidR="002F070F" w:rsidRPr="00584AF3" w:rsidRDefault="002F070F" w:rsidP="002F070F">
      <w:pPr>
        <w:tabs>
          <w:tab w:val="left" w:pos="851"/>
        </w:tabs>
        <w:rPr>
          <w:iCs/>
          <w:sz w:val="20"/>
          <w:szCs w:val="20"/>
        </w:rPr>
      </w:pPr>
      <w:r w:rsidRPr="00584AF3">
        <w:rPr>
          <w:b/>
          <w:bCs/>
          <w:sz w:val="20"/>
          <w:szCs w:val="20"/>
        </w:rPr>
        <w:t>[2]</w:t>
      </w:r>
      <w:r w:rsidRPr="00584AF3">
        <w:rPr>
          <w:sz w:val="20"/>
          <w:szCs w:val="20"/>
        </w:rPr>
        <w:tab/>
      </w:r>
      <w:r w:rsidRPr="00584AF3">
        <w:rPr>
          <w:b/>
          <w:bCs/>
          <w:iCs/>
          <w:sz w:val="20"/>
          <w:szCs w:val="20"/>
        </w:rPr>
        <w:t>Standard 1.2.7</w:t>
      </w:r>
      <w:r w:rsidRPr="00584AF3">
        <w:rPr>
          <w:iCs/>
          <w:sz w:val="20"/>
          <w:szCs w:val="20"/>
        </w:rPr>
        <w:t xml:space="preserve"> is varied by </w:t>
      </w:r>
      <w:r>
        <w:rPr>
          <w:iCs/>
          <w:sz w:val="20"/>
          <w:szCs w:val="20"/>
        </w:rPr>
        <w:t>–</w:t>
      </w:r>
    </w:p>
    <w:p w14:paraId="34F3329A" w14:textId="77777777" w:rsidR="002F070F" w:rsidRPr="00584AF3" w:rsidRDefault="002F070F" w:rsidP="002F070F">
      <w:pPr>
        <w:tabs>
          <w:tab w:val="left" w:pos="851"/>
        </w:tabs>
        <w:rPr>
          <w:iCs/>
          <w:sz w:val="20"/>
          <w:szCs w:val="20"/>
        </w:rPr>
      </w:pPr>
    </w:p>
    <w:p w14:paraId="70E918D5" w14:textId="77777777" w:rsidR="002F070F" w:rsidRDefault="002F070F" w:rsidP="002F070F">
      <w:pPr>
        <w:tabs>
          <w:tab w:val="left" w:pos="851"/>
        </w:tabs>
        <w:rPr>
          <w:iCs/>
          <w:sz w:val="20"/>
          <w:szCs w:val="20"/>
        </w:rPr>
      </w:pPr>
      <w:r w:rsidRPr="00584AF3">
        <w:rPr>
          <w:iCs/>
          <w:sz w:val="20"/>
          <w:szCs w:val="20"/>
        </w:rPr>
        <w:t>[2.1]</w:t>
      </w:r>
      <w:r w:rsidRPr="00584AF3">
        <w:rPr>
          <w:iCs/>
          <w:sz w:val="20"/>
          <w:szCs w:val="20"/>
        </w:rPr>
        <w:tab/>
      </w:r>
      <w:r>
        <w:rPr>
          <w:iCs/>
          <w:sz w:val="20"/>
          <w:szCs w:val="20"/>
        </w:rPr>
        <w:t>inserting after clause 1 –</w:t>
      </w:r>
    </w:p>
    <w:p w14:paraId="396A89E2" w14:textId="77777777" w:rsidR="002F070F" w:rsidRDefault="002F070F" w:rsidP="002F070F">
      <w:pPr>
        <w:tabs>
          <w:tab w:val="left" w:pos="851"/>
        </w:tabs>
        <w:rPr>
          <w:iCs/>
          <w:sz w:val="20"/>
          <w:szCs w:val="20"/>
        </w:rPr>
      </w:pPr>
    </w:p>
    <w:p w14:paraId="47386929" w14:textId="77777777" w:rsidR="002F070F" w:rsidRDefault="002F070F" w:rsidP="002F070F">
      <w:pPr>
        <w:tabs>
          <w:tab w:val="left" w:pos="851"/>
        </w:tabs>
        <w:rPr>
          <w:iCs/>
          <w:sz w:val="20"/>
          <w:szCs w:val="20"/>
        </w:rPr>
      </w:pPr>
      <w:r>
        <w:rPr>
          <w:iCs/>
          <w:sz w:val="20"/>
          <w:szCs w:val="20"/>
        </w:rPr>
        <w:t>“</w:t>
      </w:r>
    </w:p>
    <w:p w14:paraId="5A271D5D" w14:textId="77777777" w:rsidR="002F070F" w:rsidRPr="007C1771" w:rsidRDefault="002F070F" w:rsidP="002F070F">
      <w:pPr>
        <w:pBdr>
          <w:top w:val="single" w:sz="6" w:space="0" w:color="auto"/>
          <w:left w:val="single" w:sz="6" w:space="0" w:color="auto"/>
          <w:bottom w:val="single" w:sz="6" w:space="0" w:color="auto"/>
          <w:right w:val="single" w:sz="6" w:space="0" w:color="auto"/>
        </w:pBdr>
        <w:rPr>
          <w:rFonts w:eastAsiaTheme="minorHAnsi" w:cstheme="minorBidi"/>
          <w:b/>
          <w:sz w:val="20"/>
          <w:szCs w:val="20"/>
        </w:rPr>
      </w:pPr>
      <w:r w:rsidRPr="007C1771">
        <w:rPr>
          <w:rFonts w:eastAsiaTheme="minorHAnsi" w:cstheme="minorBidi"/>
          <w:b/>
          <w:sz w:val="20"/>
          <w:szCs w:val="20"/>
        </w:rPr>
        <w:t>Editorial note:</w:t>
      </w:r>
    </w:p>
    <w:p w14:paraId="299E5FF7" w14:textId="77777777" w:rsidR="002F070F" w:rsidRPr="00DA3DB7" w:rsidRDefault="002F070F" w:rsidP="002F070F">
      <w:pPr>
        <w:pStyle w:val="EditorialNotetext"/>
        <w:rPr>
          <w:rFonts w:eastAsiaTheme="minorHAnsi"/>
        </w:rPr>
      </w:pPr>
    </w:p>
    <w:p w14:paraId="3BD43EC7" w14:textId="77777777" w:rsidR="002F070F" w:rsidRPr="00AC1C0D" w:rsidRDefault="002F070F" w:rsidP="002F070F">
      <w:pPr>
        <w:pStyle w:val="EditorialNotetext"/>
        <w:rPr>
          <w:rFonts w:eastAsiaTheme="minorHAnsi"/>
        </w:rPr>
      </w:pPr>
      <w:r w:rsidRPr="00DA3DB7">
        <w:rPr>
          <w:rFonts w:eastAsiaTheme="minorHAnsi"/>
        </w:rPr>
        <w:t xml:space="preserve">Standard 1.2.8 </w:t>
      </w:r>
      <w:r w:rsidRPr="00DA3DB7">
        <w:t>may prescribe ad</w:t>
      </w:r>
      <w:r>
        <w:t xml:space="preserve">ditional labelling requirements </w:t>
      </w:r>
      <w:r w:rsidRPr="00DA3DB7">
        <w:t>for claims regulated in Standard 1.2.7</w:t>
      </w:r>
      <w:r w:rsidRPr="00AC1C0D">
        <w:rPr>
          <w:rFonts w:eastAsiaTheme="minorHAnsi"/>
        </w:rPr>
        <w:t>.</w:t>
      </w:r>
    </w:p>
    <w:p w14:paraId="58792D09" w14:textId="77777777" w:rsidR="002F070F" w:rsidRPr="007C1771" w:rsidRDefault="002F070F" w:rsidP="002F070F">
      <w:pPr>
        <w:jc w:val="right"/>
        <w:rPr>
          <w:rFonts w:eastAsiaTheme="minorHAnsi"/>
          <w:sz w:val="20"/>
          <w:szCs w:val="20"/>
        </w:rPr>
      </w:pPr>
      <w:r>
        <w:rPr>
          <w:rFonts w:eastAsiaTheme="minorHAnsi"/>
        </w:rPr>
        <w:t>”</w:t>
      </w:r>
    </w:p>
    <w:p w14:paraId="3BC19CD1" w14:textId="77777777" w:rsidR="002F070F" w:rsidRPr="00584AF3" w:rsidRDefault="002F070F" w:rsidP="002F070F">
      <w:pPr>
        <w:pStyle w:val="Subclause"/>
      </w:pPr>
      <w:r>
        <w:t xml:space="preserve">[2.2] </w:t>
      </w:r>
      <w:r>
        <w:tab/>
      </w:r>
      <w:r w:rsidRPr="00584AF3">
        <w:t xml:space="preserve">omitting paragraph 5(c) and substituting </w:t>
      </w:r>
      <w:r>
        <w:t>–</w:t>
      </w:r>
    </w:p>
    <w:p w14:paraId="0DA9E302" w14:textId="77777777" w:rsidR="002F070F" w:rsidRPr="00584AF3" w:rsidRDefault="002F070F" w:rsidP="002F070F">
      <w:pPr>
        <w:pStyle w:val="Subclause"/>
      </w:pPr>
    </w:p>
    <w:p w14:paraId="4976787A" w14:textId="77777777" w:rsidR="002F070F" w:rsidRPr="00584AF3" w:rsidRDefault="002F070F" w:rsidP="002F070F">
      <w:pPr>
        <w:pStyle w:val="Paragraph"/>
        <w:rPr>
          <w:rFonts w:eastAsiaTheme="minorHAnsi"/>
          <w:lang w:bidi="ar-SA"/>
        </w:rPr>
      </w:pPr>
      <w:r w:rsidRPr="00584AF3">
        <w:rPr>
          <w:rFonts w:eastAsiaTheme="minorHAnsi"/>
          <w:lang w:bidi="ar-SA"/>
        </w:rPr>
        <w:t>“(c)</w:t>
      </w:r>
      <w:r w:rsidRPr="00584AF3">
        <w:rPr>
          <w:rFonts w:eastAsiaTheme="minorHAnsi"/>
          <w:lang w:bidi="ar-SA"/>
        </w:rPr>
        <w:tab/>
        <w:t>a declaration that is required by the Act; or</w:t>
      </w:r>
    </w:p>
    <w:p w14:paraId="60F8B55D" w14:textId="77777777" w:rsidR="002F070F" w:rsidRPr="00584AF3" w:rsidRDefault="002F070F" w:rsidP="002F070F">
      <w:pPr>
        <w:pStyle w:val="Paragraph"/>
        <w:rPr>
          <w:rFonts w:eastAsiaTheme="minorHAnsi"/>
          <w:lang w:bidi="ar-SA"/>
        </w:rPr>
      </w:pPr>
      <w:r w:rsidRPr="00584AF3">
        <w:rPr>
          <w:rFonts w:eastAsiaTheme="minorHAnsi"/>
          <w:lang w:bidi="ar-SA"/>
        </w:rPr>
        <w:t>(d)</w:t>
      </w:r>
      <w:r w:rsidRPr="00584AF3">
        <w:rPr>
          <w:rFonts w:eastAsiaTheme="minorHAnsi"/>
          <w:lang w:bidi="ar-SA"/>
        </w:rPr>
        <w:tab/>
        <w:t>a Permitted Health Star Rating symbol.”</w:t>
      </w:r>
    </w:p>
    <w:p w14:paraId="405290D8" w14:textId="77777777" w:rsidR="002F070F" w:rsidRPr="00584AF3" w:rsidRDefault="002F070F" w:rsidP="002F070F">
      <w:pPr>
        <w:pStyle w:val="Paragraph"/>
        <w:rPr>
          <w:iCs/>
        </w:rPr>
      </w:pPr>
    </w:p>
    <w:p w14:paraId="3A8B8310" w14:textId="77777777" w:rsidR="002F070F" w:rsidRPr="00584AF3" w:rsidRDefault="002F070F" w:rsidP="002F070F">
      <w:pPr>
        <w:pStyle w:val="Subclause"/>
      </w:pPr>
      <w:r w:rsidRPr="00584AF3">
        <w:t>[2.</w:t>
      </w:r>
      <w:r>
        <w:t>3</w:t>
      </w:r>
      <w:r w:rsidRPr="00584AF3">
        <w:t>]</w:t>
      </w:r>
      <w:r w:rsidRPr="00584AF3">
        <w:tab/>
        <w:t>omitting “subparagraph” from paragraph 18(1)(b) and substituting “paragraph”</w:t>
      </w:r>
    </w:p>
    <w:p w14:paraId="152FD96D" w14:textId="77777777" w:rsidR="002F070F" w:rsidRPr="00584AF3" w:rsidRDefault="002F070F" w:rsidP="002F070F">
      <w:pPr>
        <w:pStyle w:val="Subclause"/>
      </w:pPr>
    </w:p>
    <w:p w14:paraId="67B4F18D" w14:textId="77777777" w:rsidR="002F070F" w:rsidRPr="00BD1B22" w:rsidRDefault="002F070F" w:rsidP="002F070F">
      <w:pPr>
        <w:pStyle w:val="Subclause"/>
      </w:pPr>
      <w:r w:rsidRPr="00584AF3">
        <w:t>[2.</w:t>
      </w:r>
      <w:r>
        <w:t>4</w:t>
      </w:r>
      <w:r w:rsidRPr="00584AF3">
        <w:t>]</w:t>
      </w:r>
      <w:r w:rsidRPr="00584AF3">
        <w:tab/>
        <w:t xml:space="preserve">omitting from </w:t>
      </w:r>
      <w:r>
        <w:t xml:space="preserve">the entry for Lactose in </w:t>
      </w:r>
      <w:r w:rsidRPr="00584AF3">
        <w:t xml:space="preserve">Schedule 1 </w:t>
      </w:r>
      <w:r w:rsidRPr="00BD1B22">
        <w:t>“</w:t>
      </w:r>
      <w:r w:rsidRPr="00CB5D78">
        <w:rPr>
          <w:rFonts w:eastAsiaTheme="minorHAnsi"/>
          <w:bCs/>
          <w:lang w:eastAsia="en-AU" w:bidi="ar-SA"/>
        </w:rPr>
        <w:t>The nutrition information panel indicates the lactose and galactose content.”</w:t>
      </w:r>
    </w:p>
    <w:p w14:paraId="23A3AEF4" w14:textId="77777777" w:rsidR="002F070F" w:rsidRDefault="002F070F" w:rsidP="002F070F">
      <w:pPr>
        <w:tabs>
          <w:tab w:val="left" w:pos="851"/>
        </w:tabs>
        <w:rPr>
          <w:iCs/>
          <w:sz w:val="20"/>
          <w:szCs w:val="20"/>
        </w:rPr>
      </w:pPr>
    </w:p>
    <w:p w14:paraId="597B7C5D" w14:textId="77777777" w:rsidR="002F070F" w:rsidRPr="00BD1B22" w:rsidRDefault="002F070F" w:rsidP="002F070F">
      <w:pPr>
        <w:tabs>
          <w:tab w:val="left" w:pos="851"/>
        </w:tabs>
        <w:rPr>
          <w:iCs/>
          <w:sz w:val="20"/>
          <w:szCs w:val="20"/>
        </w:rPr>
      </w:pPr>
      <w:r w:rsidRPr="00584AF3">
        <w:rPr>
          <w:iCs/>
          <w:sz w:val="20"/>
          <w:szCs w:val="20"/>
        </w:rPr>
        <w:t>[2.</w:t>
      </w:r>
      <w:r>
        <w:rPr>
          <w:iCs/>
          <w:sz w:val="20"/>
          <w:szCs w:val="20"/>
        </w:rPr>
        <w:t>5</w:t>
      </w:r>
      <w:r w:rsidRPr="00584AF3">
        <w:rPr>
          <w:iCs/>
          <w:sz w:val="20"/>
          <w:szCs w:val="20"/>
        </w:rPr>
        <w:t>]</w:t>
      </w:r>
      <w:r w:rsidRPr="00584AF3">
        <w:rPr>
          <w:iCs/>
          <w:sz w:val="20"/>
          <w:szCs w:val="20"/>
        </w:rPr>
        <w:tab/>
        <w:t xml:space="preserve">omitting from </w:t>
      </w:r>
      <w:r>
        <w:rPr>
          <w:iCs/>
          <w:sz w:val="20"/>
          <w:szCs w:val="20"/>
        </w:rPr>
        <w:t xml:space="preserve">the entry for Salt or sodium in </w:t>
      </w:r>
      <w:r w:rsidRPr="00584AF3">
        <w:rPr>
          <w:iCs/>
          <w:sz w:val="20"/>
          <w:szCs w:val="20"/>
        </w:rPr>
        <w:t xml:space="preserve">Schedule 1 </w:t>
      </w:r>
      <w:r w:rsidRPr="00BD1B22">
        <w:rPr>
          <w:iCs/>
          <w:sz w:val="20"/>
          <w:szCs w:val="20"/>
        </w:rPr>
        <w:t>“</w:t>
      </w:r>
      <w:r w:rsidRPr="00CB5D78">
        <w:rPr>
          <w:rFonts w:eastAsiaTheme="minorHAnsi"/>
          <w:bCs/>
          <w:sz w:val="20"/>
          <w:szCs w:val="20"/>
          <w:lang w:eastAsia="en-AU" w:bidi="ar-SA"/>
        </w:rPr>
        <w:t>The nutrition information panel indicates the potassium content.”</w:t>
      </w:r>
    </w:p>
    <w:p w14:paraId="715EDEB0" w14:textId="77777777" w:rsidR="002F070F" w:rsidRDefault="002F070F" w:rsidP="002F070F">
      <w:pPr>
        <w:tabs>
          <w:tab w:val="left" w:pos="851"/>
        </w:tabs>
        <w:rPr>
          <w:iCs/>
          <w:sz w:val="20"/>
          <w:szCs w:val="20"/>
        </w:rPr>
      </w:pPr>
    </w:p>
    <w:p w14:paraId="5F91FD26" w14:textId="77777777" w:rsidR="002F070F" w:rsidRDefault="002F070F" w:rsidP="002F070F">
      <w:pPr>
        <w:tabs>
          <w:tab w:val="left" w:pos="851"/>
        </w:tabs>
        <w:rPr>
          <w:iCs/>
          <w:sz w:val="20"/>
          <w:szCs w:val="20"/>
        </w:rPr>
      </w:pPr>
      <w:r w:rsidRPr="00584AF3">
        <w:rPr>
          <w:iCs/>
          <w:sz w:val="20"/>
          <w:szCs w:val="20"/>
        </w:rPr>
        <w:t>[2.</w:t>
      </w:r>
      <w:r>
        <w:rPr>
          <w:iCs/>
          <w:sz w:val="20"/>
          <w:szCs w:val="20"/>
        </w:rPr>
        <w:t>6</w:t>
      </w:r>
      <w:r w:rsidRPr="00584AF3">
        <w:rPr>
          <w:iCs/>
          <w:sz w:val="20"/>
          <w:szCs w:val="20"/>
        </w:rPr>
        <w:t>]</w:t>
      </w:r>
      <w:r w:rsidRPr="00584AF3">
        <w:rPr>
          <w:iCs/>
          <w:sz w:val="20"/>
          <w:szCs w:val="20"/>
        </w:rPr>
        <w:tab/>
        <w:t xml:space="preserve">omitting from Schedule 1 </w:t>
      </w:r>
    </w:p>
    <w:p w14:paraId="7EA97457" w14:textId="77777777" w:rsidR="002F070F" w:rsidRPr="00584AF3" w:rsidRDefault="002F070F" w:rsidP="002F070F">
      <w:pPr>
        <w:tabs>
          <w:tab w:val="left" w:pos="851"/>
        </w:tabs>
        <w:rPr>
          <w:iCs/>
          <w:sz w:val="20"/>
          <w:szCs w:val="20"/>
        </w:rPr>
      </w:pPr>
    </w:p>
    <w:p w14:paraId="45E13021" w14:textId="77777777" w:rsidR="002F070F" w:rsidRPr="00584AF3" w:rsidRDefault="002F070F" w:rsidP="002F070F">
      <w:pPr>
        <w:keepNext/>
        <w:tabs>
          <w:tab w:val="left" w:pos="851"/>
        </w:tabs>
        <w:rPr>
          <w:iCs/>
          <w:sz w:val="20"/>
          <w:szCs w:val="20"/>
        </w:rPr>
      </w:pPr>
      <w:r w:rsidDel="00DA3DB7">
        <w:rPr>
          <w:iCs/>
          <w:sz w:val="20"/>
          <w:szCs w:val="20"/>
        </w:rPr>
        <w:t xml:space="preserve"> </w:t>
      </w: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F070F" w:rsidRPr="00584AF3" w14:paraId="079FA7E7" w14:textId="77777777" w:rsidTr="00606FA0">
        <w:trPr>
          <w:cantSplit/>
        </w:trPr>
        <w:tc>
          <w:tcPr>
            <w:tcW w:w="1668" w:type="dxa"/>
            <w:vMerge w:val="restart"/>
            <w:tcBorders>
              <w:bottom w:val="nil"/>
            </w:tcBorders>
          </w:tcPr>
          <w:p w14:paraId="6B004BDC"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056B2A04"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7B378EED"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1D731223" w14:textId="77777777" w:rsidR="002F070F" w:rsidRPr="00584AF3" w:rsidRDefault="002F070F" w:rsidP="00606FA0">
            <w:pPr>
              <w:ind w:left="142" w:hanging="142"/>
              <w:rPr>
                <w:rFonts w:eastAsiaTheme="minorHAnsi" w:cstheme="minorBidi"/>
                <w:bCs/>
                <w:sz w:val="18"/>
                <w:szCs w:val="20"/>
                <w:lang w:eastAsia="en-AU" w:bidi="ar-SA"/>
              </w:rPr>
            </w:pPr>
          </w:p>
          <w:p w14:paraId="628B7BBD"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1C16F640"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37F1C101" w14:textId="77777777" w:rsidR="002F070F" w:rsidRPr="00584AF3" w:rsidRDefault="002F070F" w:rsidP="00606FA0">
            <w:pPr>
              <w:ind w:left="142" w:hanging="142"/>
              <w:rPr>
                <w:rFonts w:eastAsiaTheme="minorHAnsi" w:cstheme="minorBidi"/>
                <w:bCs/>
                <w:sz w:val="18"/>
                <w:szCs w:val="20"/>
                <w:lang w:eastAsia="en-AU" w:bidi="ar-SA"/>
              </w:rPr>
            </w:pPr>
          </w:p>
          <w:p w14:paraId="50860F57"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42075D7D" w14:textId="77777777" w:rsidR="002F070F" w:rsidRPr="00584AF3" w:rsidRDefault="002F070F" w:rsidP="00606FA0">
            <w:pPr>
              <w:ind w:left="142" w:hanging="142"/>
              <w:rPr>
                <w:rFonts w:eastAsiaTheme="minorHAnsi" w:cstheme="minorBidi"/>
                <w:bCs/>
                <w:sz w:val="18"/>
                <w:szCs w:val="20"/>
                <w:lang w:eastAsia="en-AU" w:bidi="ar-SA"/>
              </w:rPr>
            </w:pPr>
          </w:p>
          <w:p w14:paraId="2F9A58EE" w14:textId="77777777" w:rsidR="002F070F"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5E795CDD" w14:textId="77777777" w:rsidR="00D0646F" w:rsidRPr="00584AF3" w:rsidRDefault="00D0646F" w:rsidP="00606FA0">
            <w:pPr>
              <w:ind w:left="568" w:hanging="284"/>
              <w:rPr>
                <w:rFonts w:eastAsiaTheme="minorHAnsi" w:cstheme="minorBidi"/>
                <w:bCs/>
                <w:sz w:val="18"/>
                <w:szCs w:val="20"/>
                <w:lang w:eastAsia="en-AU" w:bidi="ar-SA"/>
              </w:rPr>
            </w:pPr>
          </w:p>
          <w:p w14:paraId="4F52781A"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lastRenderedPageBreak/>
              <w:t>(ii)</w:t>
            </w:r>
            <w:r w:rsidRPr="00584AF3">
              <w:rPr>
                <w:rFonts w:eastAsiaTheme="minorHAnsi" w:cstheme="minorBidi"/>
                <w:bCs/>
                <w:sz w:val="18"/>
                <w:szCs w:val="20"/>
                <w:lang w:eastAsia="en-AU" w:bidi="ar-SA"/>
              </w:rPr>
              <w:tab/>
              <w:t>no more saturated fatty acids and trans fatty acids than 5 g per     100 g; and</w:t>
            </w:r>
          </w:p>
        </w:tc>
        <w:tc>
          <w:tcPr>
            <w:tcW w:w="2126" w:type="dxa"/>
            <w:tcBorders>
              <w:bottom w:val="single" w:sz="4" w:space="0" w:color="auto"/>
            </w:tcBorders>
          </w:tcPr>
          <w:p w14:paraId="29D66EE3"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lastRenderedPageBreak/>
              <w:t>Good Source</w:t>
            </w:r>
          </w:p>
        </w:tc>
        <w:tc>
          <w:tcPr>
            <w:tcW w:w="3010" w:type="dxa"/>
            <w:tcBorders>
              <w:bottom w:val="single" w:sz="4" w:space="0" w:color="auto"/>
            </w:tcBorders>
          </w:tcPr>
          <w:p w14:paraId="2268D475"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2AAB45C0"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2F070F" w:rsidRPr="00584AF3" w14:paraId="76F1E512" w14:textId="77777777" w:rsidTr="00606FA0">
        <w:tc>
          <w:tcPr>
            <w:tcW w:w="1668" w:type="dxa"/>
            <w:vMerge/>
            <w:tcBorders>
              <w:left w:val="single" w:sz="4" w:space="0" w:color="auto"/>
              <w:bottom w:val="nil"/>
              <w:right w:val="single" w:sz="4" w:space="0" w:color="auto"/>
            </w:tcBorders>
          </w:tcPr>
          <w:p w14:paraId="12F8F188" w14:textId="77777777" w:rsidR="002F070F" w:rsidRPr="00584AF3" w:rsidRDefault="002F070F" w:rsidP="00606FA0">
            <w:pPr>
              <w:ind w:left="142" w:hanging="142"/>
              <w:rPr>
                <w:rFonts w:eastAsiaTheme="minorHAnsi" w:cstheme="minorBidi"/>
                <w:bCs/>
                <w:sz w:val="18"/>
                <w:szCs w:val="20"/>
                <w:lang w:eastAsia="en-AU" w:bidi="ar-SA"/>
              </w:rPr>
            </w:pPr>
          </w:p>
        </w:tc>
        <w:tc>
          <w:tcPr>
            <w:tcW w:w="2268" w:type="dxa"/>
            <w:vMerge/>
            <w:tcBorders>
              <w:left w:val="single" w:sz="4" w:space="0" w:color="auto"/>
              <w:bottom w:val="nil"/>
              <w:right w:val="single" w:sz="4" w:space="0" w:color="auto"/>
            </w:tcBorders>
          </w:tcPr>
          <w:p w14:paraId="7356B31D" w14:textId="77777777" w:rsidR="002F070F" w:rsidRPr="00584AF3" w:rsidRDefault="002F070F" w:rsidP="00606FA0">
            <w:pPr>
              <w:ind w:left="142" w:hanging="142"/>
              <w:rPr>
                <w:rFonts w:eastAsiaTheme="minorHAnsi" w:cstheme="minorBidi"/>
                <w:bCs/>
                <w:sz w:val="18"/>
                <w:szCs w:val="20"/>
                <w:lang w:eastAsia="en-AU" w:bidi="ar-SA"/>
              </w:rPr>
            </w:pPr>
          </w:p>
        </w:tc>
        <w:tc>
          <w:tcPr>
            <w:tcW w:w="2126" w:type="dxa"/>
            <w:tcBorders>
              <w:top w:val="single" w:sz="4" w:space="0" w:color="auto"/>
              <w:left w:val="single" w:sz="4" w:space="0" w:color="auto"/>
              <w:bottom w:val="nil"/>
              <w:right w:val="single" w:sz="4" w:space="0" w:color="auto"/>
            </w:tcBorders>
          </w:tcPr>
          <w:p w14:paraId="60224F07"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Borders>
              <w:top w:val="single" w:sz="4" w:space="0" w:color="auto"/>
              <w:left w:val="single" w:sz="4" w:space="0" w:color="auto"/>
              <w:bottom w:val="nil"/>
              <w:right w:val="single" w:sz="4" w:space="0" w:color="auto"/>
            </w:tcBorders>
          </w:tcPr>
          <w:p w14:paraId="1F3EA42D"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412D03A7"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r w:rsidR="002F070F" w:rsidRPr="00584AF3" w14:paraId="5739455F" w14:textId="77777777" w:rsidTr="00606FA0">
        <w:tc>
          <w:tcPr>
            <w:tcW w:w="1668" w:type="dxa"/>
            <w:tcBorders>
              <w:top w:val="nil"/>
              <w:left w:val="single" w:sz="4" w:space="0" w:color="auto"/>
              <w:bottom w:val="single" w:sz="4" w:space="0" w:color="auto"/>
              <w:right w:val="single" w:sz="4" w:space="0" w:color="auto"/>
            </w:tcBorders>
          </w:tcPr>
          <w:p w14:paraId="38EDE7B7" w14:textId="77777777" w:rsidR="002F070F" w:rsidRPr="00584AF3" w:rsidRDefault="002F070F" w:rsidP="00606FA0">
            <w:pPr>
              <w:ind w:left="142" w:hanging="142"/>
              <w:rPr>
                <w:rFonts w:eastAsiaTheme="minorHAnsi" w:cstheme="minorBidi"/>
                <w:bCs/>
                <w:sz w:val="18"/>
                <w:szCs w:val="20"/>
                <w:lang w:eastAsia="en-AU" w:bidi="ar-SA"/>
              </w:rPr>
            </w:pPr>
          </w:p>
        </w:tc>
        <w:tc>
          <w:tcPr>
            <w:tcW w:w="2268" w:type="dxa"/>
            <w:tcBorders>
              <w:top w:val="nil"/>
              <w:left w:val="single" w:sz="4" w:space="0" w:color="auto"/>
              <w:bottom w:val="single" w:sz="4" w:space="0" w:color="auto"/>
              <w:right w:val="single" w:sz="4" w:space="0" w:color="auto"/>
            </w:tcBorders>
          </w:tcPr>
          <w:p w14:paraId="19DF1AD8"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(d)</w:t>
            </w:r>
            <w:r w:rsidRPr="00584AF3">
              <w:rPr>
                <w:rFonts w:eastAsiaTheme="minorHAnsi" w:cstheme="minorBidi"/>
                <w:bCs/>
                <w:sz w:val="18"/>
                <w:szCs w:val="20"/>
                <w:lang w:eastAsia="en-AU" w:bidi="ar-SA"/>
              </w:rPr>
              <w:tab/>
              <w:t>the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14:paraId="1F158F43" w14:textId="77777777" w:rsidR="002F070F" w:rsidRPr="00584AF3" w:rsidRDefault="002F070F" w:rsidP="00606FA0">
            <w:pPr>
              <w:ind w:left="142" w:hanging="142"/>
              <w:rPr>
                <w:rFonts w:eastAsiaTheme="minorHAnsi" w:cstheme="minorBidi"/>
                <w:bCs/>
                <w:sz w:val="18"/>
                <w:szCs w:val="20"/>
                <w:lang w:eastAsia="en-AU" w:bidi="ar-SA"/>
              </w:rPr>
            </w:pPr>
          </w:p>
        </w:tc>
        <w:tc>
          <w:tcPr>
            <w:tcW w:w="3010" w:type="dxa"/>
            <w:tcBorders>
              <w:top w:val="nil"/>
              <w:left w:val="single" w:sz="4" w:space="0" w:color="auto"/>
              <w:bottom w:val="single" w:sz="4" w:space="0" w:color="auto"/>
              <w:right w:val="single" w:sz="4" w:space="0" w:color="auto"/>
            </w:tcBorders>
          </w:tcPr>
          <w:p w14:paraId="1925B90F" w14:textId="77777777" w:rsidR="002F070F" w:rsidRPr="00584AF3" w:rsidRDefault="002F070F" w:rsidP="00606FA0">
            <w:pPr>
              <w:ind w:left="284" w:hanging="284"/>
              <w:rPr>
                <w:rFonts w:eastAsiaTheme="minorHAnsi" w:cstheme="minorBidi"/>
                <w:bCs/>
                <w:sz w:val="18"/>
                <w:szCs w:val="20"/>
                <w:lang w:eastAsia="en-AU" w:bidi="ar-SA"/>
              </w:rPr>
            </w:pPr>
          </w:p>
        </w:tc>
      </w:tr>
    </w:tbl>
    <w:p w14:paraId="4B272DF2" w14:textId="77777777" w:rsidR="002F070F" w:rsidRDefault="002F070F" w:rsidP="002F070F">
      <w:pPr>
        <w:tabs>
          <w:tab w:val="left" w:pos="851"/>
        </w:tabs>
        <w:jc w:val="right"/>
        <w:rPr>
          <w:iCs/>
          <w:sz w:val="20"/>
          <w:szCs w:val="20"/>
        </w:rPr>
      </w:pPr>
      <w:r w:rsidRPr="00584AF3">
        <w:rPr>
          <w:iCs/>
          <w:sz w:val="20"/>
          <w:szCs w:val="20"/>
        </w:rPr>
        <w:t>”</w:t>
      </w:r>
    </w:p>
    <w:p w14:paraId="391A6DFD" w14:textId="77777777" w:rsidR="002F070F" w:rsidRPr="00584AF3" w:rsidRDefault="002F070F" w:rsidP="002F070F">
      <w:pPr>
        <w:tabs>
          <w:tab w:val="left" w:pos="851"/>
        </w:tabs>
        <w:jc w:val="right"/>
        <w:rPr>
          <w:iCs/>
          <w:sz w:val="20"/>
          <w:szCs w:val="20"/>
        </w:rPr>
      </w:pPr>
    </w:p>
    <w:p w14:paraId="45FA4AEB" w14:textId="77777777" w:rsidR="002F070F" w:rsidRPr="00584AF3" w:rsidRDefault="002F070F" w:rsidP="002F070F">
      <w:pPr>
        <w:tabs>
          <w:tab w:val="left" w:pos="851"/>
        </w:tabs>
        <w:rPr>
          <w:iCs/>
          <w:sz w:val="20"/>
          <w:szCs w:val="20"/>
        </w:rPr>
      </w:pPr>
      <w:r w:rsidRPr="00584AF3">
        <w:rPr>
          <w:iCs/>
          <w:sz w:val="20"/>
          <w:szCs w:val="20"/>
        </w:rPr>
        <w:t xml:space="preserve">and substituting </w:t>
      </w:r>
      <w:r>
        <w:rPr>
          <w:iCs/>
          <w:sz w:val="20"/>
          <w:szCs w:val="20"/>
        </w:rPr>
        <w:t>–</w:t>
      </w:r>
    </w:p>
    <w:p w14:paraId="2E18E234" w14:textId="77777777" w:rsidR="002F070F" w:rsidRPr="00584AF3" w:rsidRDefault="002F070F" w:rsidP="002F070F">
      <w:pPr>
        <w:tabs>
          <w:tab w:val="left" w:pos="851"/>
        </w:tabs>
        <w:rPr>
          <w:iCs/>
          <w:sz w:val="20"/>
          <w:szCs w:val="20"/>
        </w:rPr>
      </w:pPr>
    </w:p>
    <w:p w14:paraId="0BAAADA6" w14:textId="77777777" w:rsidR="002F070F" w:rsidRPr="00584AF3" w:rsidRDefault="002F070F" w:rsidP="002F070F">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2F070F" w:rsidRPr="00584AF3" w14:paraId="2CFEBD69" w14:textId="77777777" w:rsidTr="00606FA0">
        <w:trPr>
          <w:cantSplit/>
        </w:trPr>
        <w:tc>
          <w:tcPr>
            <w:tcW w:w="1668" w:type="dxa"/>
            <w:vMerge w:val="restart"/>
          </w:tcPr>
          <w:p w14:paraId="2DD47B18"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4B830DA0"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7DAE9F05"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2F17723C" w14:textId="77777777" w:rsidR="002F070F" w:rsidRPr="00584AF3" w:rsidRDefault="002F070F" w:rsidP="00606FA0">
            <w:pPr>
              <w:ind w:left="142" w:hanging="142"/>
              <w:rPr>
                <w:rFonts w:eastAsiaTheme="minorHAnsi" w:cstheme="minorBidi"/>
                <w:bCs/>
                <w:sz w:val="18"/>
                <w:szCs w:val="20"/>
                <w:lang w:eastAsia="en-AU" w:bidi="ar-SA"/>
              </w:rPr>
            </w:pPr>
          </w:p>
          <w:p w14:paraId="31864589"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0726552A"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649DEF2B" w14:textId="77777777" w:rsidR="002F070F" w:rsidRPr="00584AF3" w:rsidRDefault="002F070F" w:rsidP="00606FA0">
            <w:pPr>
              <w:rPr>
                <w:rFonts w:eastAsiaTheme="minorHAnsi" w:cstheme="minorBidi"/>
                <w:bCs/>
                <w:sz w:val="18"/>
                <w:szCs w:val="20"/>
                <w:lang w:eastAsia="en-AU" w:bidi="ar-SA"/>
              </w:rPr>
            </w:pPr>
          </w:p>
          <w:p w14:paraId="19ED2655"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39E438F6" w14:textId="77777777" w:rsidR="002F070F" w:rsidRPr="00584AF3" w:rsidRDefault="002F070F" w:rsidP="00606FA0">
            <w:pPr>
              <w:ind w:left="142" w:hanging="142"/>
              <w:rPr>
                <w:rFonts w:eastAsiaTheme="minorHAnsi" w:cstheme="minorBidi"/>
                <w:bCs/>
                <w:sz w:val="18"/>
                <w:szCs w:val="20"/>
                <w:lang w:eastAsia="en-AU" w:bidi="ar-SA"/>
              </w:rPr>
            </w:pPr>
          </w:p>
          <w:p w14:paraId="036A040C"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1529E933" w14:textId="77777777" w:rsidR="002F070F" w:rsidRPr="00584AF3" w:rsidRDefault="002F070F" w:rsidP="00606FA0">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no more saturated fatty acids and trans fatty acids than 5 g per     100 g.</w:t>
            </w:r>
          </w:p>
          <w:p w14:paraId="03E3FCC8" w14:textId="77777777" w:rsidR="002F070F" w:rsidRPr="00584AF3" w:rsidRDefault="002F070F" w:rsidP="00606FA0">
            <w:pPr>
              <w:rPr>
                <w:rFonts w:eastAsiaTheme="minorHAnsi" w:cstheme="minorBidi"/>
                <w:bCs/>
                <w:sz w:val="18"/>
                <w:szCs w:val="20"/>
                <w:lang w:eastAsia="en-AU" w:bidi="ar-SA"/>
              </w:rPr>
            </w:pPr>
          </w:p>
        </w:tc>
        <w:tc>
          <w:tcPr>
            <w:tcW w:w="2126" w:type="dxa"/>
          </w:tcPr>
          <w:p w14:paraId="5C65416C"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t>Good Source</w:t>
            </w:r>
          </w:p>
        </w:tc>
        <w:tc>
          <w:tcPr>
            <w:tcW w:w="3010" w:type="dxa"/>
          </w:tcPr>
          <w:p w14:paraId="338BB1FD"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11380404"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2F070F" w:rsidRPr="00584AF3" w14:paraId="584BF83A" w14:textId="77777777" w:rsidTr="00606FA0">
        <w:tc>
          <w:tcPr>
            <w:tcW w:w="1668" w:type="dxa"/>
            <w:vMerge/>
          </w:tcPr>
          <w:p w14:paraId="43B52236" w14:textId="77777777" w:rsidR="002F070F" w:rsidRPr="00584AF3" w:rsidRDefault="002F070F" w:rsidP="00606FA0">
            <w:pPr>
              <w:ind w:left="142" w:hanging="142"/>
              <w:rPr>
                <w:rFonts w:eastAsiaTheme="minorHAnsi" w:cstheme="minorBidi"/>
                <w:bCs/>
                <w:sz w:val="18"/>
                <w:szCs w:val="20"/>
                <w:lang w:eastAsia="en-AU" w:bidi="ar-SA"/>
              </w:rPr>
            </w:pPr>
          </w:p>
        </w:tc>
        <w:tc>
          <w:tcPr>
            <w:tcW w:w="2268" w:type="dxa"/>
            <w:vMerge/>
          </w:tcPr>
          <w:p w14:paraId="16EE4CE2" w14:textId="77777777" w:rsidR="002F070F" w:rsidRPr="00584AF3" w:rsidRDefault="002F070F" w:rsidP="00606FA0">
            <w:pPr>
              <w:ind w:left="142" w:hanging="142"/>
              <w:rPr>
                <w:rFonts w:eastAsiaTheme="minorHAnsi" w:cstheme="minorBidi"/>
                <w:bCs/>
                <w:sz w:val="18"/>
                <w:szCs w:val="20"/>
                <w:lang w:eastAsia="en-AU" w:bidi="ar-SA"/>
              </w:rPr>
            </w:pPr>
          </w:p>
        </w:tc>
        <w:tc>
          <w:tcPr>
            <w:tcW w:w="2126" w:type="dxa"/>
          </w:tcPr>
          <w:p w14:paraId="4F0836B8" w14:textId="77777777" w:rsidR="002F070F" w:rsidRPr="00584AF3" w:rsidRDefault="002F070F" w:rsidP="00606FA0">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Pr>
          <w:p w14:paraId="092808AA"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5FE110BC" w14:textId="77777777" w:rsidR="002F070F" w:rsidRPr="00584AF3" w:rsidRDefault="002F070F" w:rsidP="00606FA0">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bl>
    <w:p w14:paraId="757EB38A" w14:textId="77777777" w:rsidR="002F070F" w:rsidRPr="00584AF3" w:rsidRDefault="002F070F" w:rsidP="002F070F">
      <w:pPr>
        <w:tabs>
          <w:tab w:val="left" w:pos="851"/>
        </w:tabs>
        <w:jc w:val="right"/>
        <w:rPr>
          <w:iCs/>
          <w:sz w:val="20"/>
          <w:szCs w:val="20"/>
        </w:rPr>
      </w:pPr>
      <w:r w:rsidRPr="00584AF3">
        <w:rPr>
          <w:iCs/>
          <w:sz w:val="20"/>
          <w:szCs w:val="20"/>
        </w:rPr>
        <w:t>”</w:t>
      </w:r>
    </w:p>
    <w:p w14:paraId="18BAB99C" w14:textId="77777777" w:rsidR="002F070F" w:rsidRPr="00584AF3" w:rsidRDefault="002F070F" w:rsidP="002F070F">
      <w:pPr>
        <w:pStyle w:val="Subclause"/>
      </w:pPr>
    </w:p>
    <w:p w14:paraId="4E6F4E8B" w14:textId="77777777" w:rsidR="002F070F" w:rsidRPr="00584AF3" w:rsidRDefault="002F070F" w:rsidP="002F070F">
      <w:pPr>
        <w:pStyle w:val="Subclause"/>
      </w:pPr>
      <w:r w:rsidRPr="00584AF3">
        <w:t>[2.</w:t>
      </w:r>
      <w:r>
        <w:t>7</w:t>
      </w:r>
      <w:r w:rsidRPr="00584AF3">
        <w:t>]</w:t>
      </w:r>
      <w:r w:rsidRPr="00584AF3">
        <w:tab/>
        <w:t>omitting “the content of energy and each nutrient” from subitems 2(1) and 3(1) of Schedule 5</w:t>
      </w:r>
      <w:r>
        <w:t xml:space="preserve"> and</w:t>
      </w:r>
      <w:r w:rsidRPr="00584AF3">
        <w:t xml:space="preserve"> substituting “the average energy content and the average quantity of each nutrient listed in that Table that is”</w:t>
      </w:r>
    </w:p>
    <w:p w14:paraId="1F24FF2B" w14:textId="77777777" w:rsidR="002F070F" w:rsidRPr="00584AF3" w:rsidRDefault="002F070F" w:rsidP="002F070F">
      <w:pPr>
        <w:pStyle w:val="Subclause"/>
      </w:pPr>
    </w:p>
    <w:p w14:paraId="695DD1D6" w14:textId="77777777" w:rsidR="002F070F" w:rsidRPr="00584AF3" w:rsidRDefault="002F070F" w:rsidP="002F070F">
      <w:pPr>
        <w:pStyle w:val="Subclause"/>
      </w:pPr>
      <w:r w:rsidRPr="00584AF3">
        <w:t>[2.</w:t>
      </w:r>
      <w:r>
        <w:t>8</w:t>
      </w:r>
      <w:r w:rsidRPr="00584AF3">
        <w:t xml:space="preserve">] </w:t>
      </w:r>
      <w:r w:rsidRPr="00584AF3">
        <w:tab/>
        <w:t>omitting “sources” from paragraph 4(6)(c) of Schedule 5</w:t>
      </w:r>
    </w:p>
    <w:p w14:paraId="4F47E7F1" w14:textId="77777777" w:rsidR="002F070F" w:rsidRPr="00584AF3" w:rsidRDefault="002F070F" w:rsidP="002F070F">
      <w:pPr>
        <w:pStyle w:val="Subclause"/>
      </w:pPr>
    </w:p>
    <w:p w14:paraId="1499E34B" w14:textId="77777777" w:rsidR="002F070F" w:rsidRPr="00584AF3" w:rsidRDefault="002F070F" w:rsidP="002F070F">
      <w:pPr>
        <w:pStyle w:val="Subclause"/>
      </w:pPr>
      <w:r w:rsidRPr="00584AF3">
        <w:lastRenderedPageBreak/>
        <w:t>[2.</w:t>
      </w:r>
      <w:r>
        <w:t>9</w:t>
      </w:r>
      <w:r w:rsidRPr="00584AF3">
        <w:t xml:space="preserve">] </w:t>
      </w:r>
      <w:r w:rsidRPr="00584AF3">
        <w:tab/>
        <w:t xml:space="preserve">omitting “sources” from subitem 4(8) of Schedule 5 </w:t>
      </w:r>
    </w:p>
    <w:p w14:paraId="6EB16672" w14:textId="77777777" w:rsidR="002F070F" w:rsidRPr="00584AF3" w:rsidRDefault="002F070F" w:rsidP="002F070F">
      <w:pPr>
        <w:pStyle w:val="Subclause"/>
      </w:pPr>
    </w:p>
    <w:p w14:paraId="26B41814" w14:textId="77777777" w:rsidR="002F070F" w:rsidRPr="00584AF3" w:rsidRDefault="002F070F" w:rsidP="002F070F">
      <w:pPr>
        <w:pStyle w:val="Subclause"/>
      </w:pPr>
      <w:r w:rsidRPr="00584AF3">
        <w:t>[2.</w:t>
      </w:r>
      <w:r>
        <w:t>10</w:t>
      </w:r>
      <w:r w:rsidRPr="00584AF3">
        <w:t xml:space="preserve">] </w:t>
      </w:r>
      <w:r w:rsidRPr="00584AF3">
        <w:tab/>
        <w:t>omitting “total” wherever appearing in Tables 1 and 2 of Schedule 5</w:t>
      </w:r>
    </w:p>
    <w:p w14:paraId="660C8A0F" w14:textId="77777777" w:rsidR="002F070F" w:rsidRPr="00584AF3" w:rsidRDefault="002F070F" w:rsidP="002F070F">
      <w:pPr>
        <w:pStyle w:val="Subclause"/>
      </w:pPr>
    </w:p>
    <w:p w14:paraId="0A1956A4" w14:textId="77777777" w:rsidR="002F070F" w:rsidRPr="00584AF3" w:rsidRDefault="002F070F" w:rsidP="002F070F">
      <w:pPr>
        <w:pStyle w:val="Subclause"/>
      </w:pPr>
      <w:r w:rsidRPr="00584AF3">
        <w:t>[2.1</w:t>
      </w:r>
      <w:r>
        <w:t>1</w:t>
      </w:r>
      <w:r w:rsidRPr="00584AF3">
        <w:t xml:space="preserve">] </w:t>
      </w:r>
      <w:r w:rsidRPr="00584AF3">
        <w:tab/>
        <w:t>omitting “Average saturated fatty acids” wherever appearing in Tables 1 and 2 of Schedule 5</w:t>
      </w:r>
      <w:r>
        <w:t xml:space="preserve"> and</w:t>
      </w:r>
      <w:r w:rsidRPr="00584AF3">
        <w:t xml:space="preserve"> substituting “Average quantity of saturated fatty acids”</w:t>
      </w:r>
    </w:p>
    <w:p w14:paraId="091D885B" w14:textId="77777777" w:rsidR="002F070F" w:rsidRPr="00584AF3" w:rsidRDefault="002F070F" w:rsidP="002F070F">
      <w:pPr>
        <w:pStyle w:val="Subclause"/>
      </w:pPr>
    </w:p>
    <w:p w14:paraId="4D04B611" w14:textId="2B73C384" w:rsidR="002F070F" w:rsidRPr="00584AF3" w:rsidRDefault="002F070F" w:rsidP="002F070F">
      <w:pPr>
        <w:pStyle w:val="Subclause"/>
      </w:pPr>
      <w:r w:rsidRPr="00584AF3">
        <w:t>[2.1</w:t>
      </w:r>
      <w:r>
        <w:t>2</w:t>
      </w:r>
      <w:r w:rsidRPr="00584AF3">
        <w:t>]</w:t>
      </w:r>
      <w:r w:rsidRPr="00584AF3">
        <w:tab/>
        <w:t>omitting “Average sodium” wherever appearing in Tables 1 and 2 of Schedule 5</w:t>
      </w:r>
      <w:r>
        <w:t xml:space="preserve"> and</w:t>
      </w:r>
      <w:r w:rsidRPr="00584AF3">
        <w:t xml:space="preserve"> substituting “Average quantity of sodium”</w:t>
      </w:r>
    </w:p>
    <w:p w14:paraId="48C98E0E" w14:textId="77777777" w:rsidR="002F070F" w:rsidRPr="00584AF3" w:rsidRDefault="002F070F" w:rsidP="002F070F">
      <w:pPr>
        <w:pStyle w:val="Subclause"/>
      </w:pPr>
    </w:p>
    <w:p w14:paraId="775B8DCB" w14:textId="13207559" w:rsidR="002F070F" w:rsidRPr="00584AF3" w:rsidRDefault="002F070F" w:rsidP="002F070F">
      <w:pPr>
        <w:pStyle w:val="Subclause"/>
      </w:pPr>
      <w:r w:rsidRPr="00584AF3">
        <w:t>[2.1</w:t>
      </w:r>
      <w:r>
        <w:t>3</w:t>
      </w:r>
      <w:r w:rsidRPr="00584AF3">
        <w:t>]</w:t>
      </w:r>
      <w:r w:rsidRPr="00584AF3">
        <w:tab/>
        <w:t>omitting subitem 5(1) of Schedule 5</w:t>
      </w:r>
      <w:r w:rsidR="00136ED8">
        <w:t xml:space="preserve"> and </w:t>
      </w:r>
      <w:r w:rsidRPr="00584AF3">
        <w:t>substituting</w:t>
      </w:r>
      <w:r>
        <w:t xml:space="preserve"> –</w:t>
      </w:r>
    </w:p>
    <w:p w14:paraId="0E5B955E" w14:textId="77777777" w:rsidR="002F070F" w:rsidRPr="00584AF3" w:rsidRDefault="002F070F" w:rsidP="002F070F">
      <w:pPr>
        <w:pStyle w:val="Subclause"/>
      </w:pPr>
    </w:p>
    <w:p w14:paraId="6A7DEAEC" w14:textId="77777777" w:rsidR="002F070F" w:rsidRPr="00584AF3" w:rsidRDefault="002F070F" w:rsidP="002F070F">
      <w:pPr>
        <w:pStyle w:val="Subclause"/>
        <w:rPr>
          <w:rFonts w:eastAsiaTheme="minorHAnsi"/>
          <w:lang w:bidi="ar-SA"/>
        </w:rPr>
      </w:pPr>
      <w:r w:rsidRPr="00584AF3">
        <w:rPr>
          <w:lang w:bidi="ar-SA"/>
        </w:rPr>
        <w:t>“(1)</w:t>
      </w:r>
      <w:r w:rsidRPr="00584AF3">
        <w:rPr>
          <w:lang w:bidi="ar-SA"/>
        </w:rPr>
        <w:tab/>
      </w:r>
      <w:r w:rsidRPr="00584AF3">
        <w:rPr>
          <w:rFonts w:eastAsiaTheme="minorHAnsi"/>
          <w:lang w:bidi="ar-SA"/>
        </w:rPr>
        <w:t>Use Table 4 to determine the ‘P points’ scored, depending on the average quantity of protein in 100 g or 100 mL of the food product (based on the units used in the nutrition information panel).  A maximum of five points can be awarded.”</w:t>
      </w:r>
    </w:p>
    <w:p w14:paraId="7BAA4D47" w14:textId="77777777" w:rsidR="002F070F" w:rsidRPr="00584AF3" w:rsidRDefault="002F070F" w:rsidP="002F070F">
      <w:pPr>
        <w:pStyle w:val="Subclause"/>
        <w:rPr>
          <w:rFonts w:eastAsiaTheme="minorHAnsi"/>
          <w:lang w:bidi="ar-SA"/>
        </w:rPr>
      </w:pPr>
    </w:p>
    <w:p w14:paraId="4F638C10" w14:textId="77777777" w:rsidR="002F070F" w:rsidRPr="00584AF3" w:rsidRDefault="002F070F" w:rsidP="002F070F">
      <w:pPr>
        <w:pStyle w:val="Subclause"/>
      </w:pPr>
      <w:r w:rsidRPr="00584AF3">
        <w:t>[2.1</w:t>
      </w:r>
      <w:r>
        <w:t>4</w:t>
      </w:r>
      <w:r w:rsidRPr="00584AF3">
        <w:t>]</w:t>
      </w:r>
      <w:r w:rsidRPr="00584AF3">
        <w:tab/>
        <w:t>omitting subitem 6(1) of Schedule 5</w:t>
      </w:r>
      <w:r>
        <w:t xml:space="preserve"> and</w:t>
      </w:r>
      <w:r w:rsidRPr="00584AF3">
        <w:t xml:space="preserve"> substituting</w:t>
      </w:r>
      <w:r>
        <w:t xml:space="preserve"> –</w:t>
      </w:r>
    </w:p>
    <w:p w14:paraId="3901119D" w14:textId="77777777" w:rsidR="002F070F" w:rsidRDefault="002F070F" w:rsidP="002F070F">
      <w:pPr>
        <w:pStyle w:val="Subclause"/>
      </w:pPr>
    </w:p>
    <w:p w14:paraId="790D78AB" w14:textId="77777777" w:rsidR="002F070F" w:rsidRPr="00584AF3" w:rsidRDefault="002F070F" w:rsidP="002F070F">
      <w:pPr>
        <w:pStyle w:val="Subclause"/>
        <w:rPr>
          <w:rFonts w:eastAsiaTheme="minorHAnsi"/>
          <w:lang w:bidi="ar-SA"/>
        </w:rPr>
      </w:pPr>
      <w:r w:rsidRPr="00584AF3">
        <w:rPr>
          <w:lang w:bidi="ar-SA"/>
        </w:rPr>
        <w:t>“(1)</w:t>
      </w:r>
      <w:r w:rsidRPr="00584AF3">
        <w:rPr>
          <w:lang w:bidi="ar-SA"/>
        </w:rPr>
        <w:tab/>
      </w:r>
      <w:r w:rsidRPr="00584AF3">
        <w:rPr>
          <w:rFonts w:eastAsiaTheme="minorHAnsi"/>
          <w:lang w:bidi="ar-SA"/>
        </w:rPr>
        <w:t>Use Table 5 to determine the ‘F points’ scored, depending on the average quantity of dietary fibre in 100 g or 100 mL of the food product (based on the units used in the nutrition information panel).  A maximum of five points can be awarded.”</w:t>
      </w:r>
    </w:p>
    <w:p w14:paraId="14DB20A6" w14:textId="77777777" w:rsidR="002F070F" w:rsidRPr="00584AF3" w:rsidRDefault="002F070F" w:rsidP="002F070F">
      <w:pPr>
        <w:pStyle w:val="Subclause"/>
        <w:rPr>
          <w:lang w:bidi="ar-SA"/>
        </w:rPr>
      </w:pPr>
      <w:r w:rsidRPr="00584AF3">
        <w:rPr>
          <w:rFonts w:eastAsiaTheme="minorHAnsi"/>
          <w:lang w:bidi="ar-SA"/>
        </w:rPr>
        <w:t xml:space="preserve"> </w:t>
      </w:r>
    </w:p>
    <w:p w14:paraId="358042C4" w14:textId="77777777" w:rsidR="002F070F" w:rsidRPr="00584AF3" w:rsidRDefault="002F070F" w:rsidP="002F070F">
      <w:pPr>
        <w:pStyle w:val="Subclause"/>
        <w:rPr>
          <w:iCs/>
        </w:rPr>
      </w:pPr>
      <w:r w:rsidRPr="00584AF3">
        <w:rPr>
          <w:b/>
          <w:bCs/>
        </w:rPr>
        <w:t>[3]</w:t>
      </w:r>
      <w:r w:rsidRPr="00584AF3">
        <w:tab/>
      </w:r>
      <w:r w:rsidRPr="00584AF3">
        <w:rPr>
          <w:b/>
          <w:bCs/>
          <w:iCs/>
        </w:rPr>
        <w:t>Standard 1.2.8</w:t>
      </w:r>
      <w:r>
        <w:rPr>
          <w:iCs/>
        </w:rPr>
        <w:t xml:space="preserve"> is varied by</w:t>
      </w:r>
    </w:p>
    <w:p w14:paraId="148E3777" w14:textId="77777777" w:rsidR="002F070F" w:rsidRPr="00584AF3" w:rsidRDefault="002F070F" w:rsidP="002F070F">
      <w:pPr>
        <w:pStyle w:val="Subclause"/>
        <w:rPr>
          <w:iCs/>
        </w:rPr>
      </w:pPr>
    </w:p>
    <w:p w14:paraId="2EF2970A" w14:textId="77777777" w:rsidR="002F070F" w:rsidRPr="00584AF3" w:rsidRDefault="002F070F" w:rsidP="002F070F">
      <w:pPr>
        <w:pStyle w:val="Subclause"/>
        <w:rPr>
          <w:iCs/>
        </w:rPr>
      </w:pPr>
      <w:r w:rsidRPr="00584AF3">
        <w:rPr>
          <w:iCs/>
        </w:rPr>
        <w:t>[3.1]</w:t>
      </w:r>
      <w:r w:rsidRPr="00584AF3">
        <w:rPr>
          <w:iCs/>
        </w:rPr>
        <w:tab/>
        <w:t>omitting paragraph 4(1)(d)</w:t>
      </w:r>
      <w:r>
        <w:rPr>
          <w:iCs/>
        </w:rPr>
        <w:t xml:space="preserve"> and</w:t>
      </w:r>
      <w:r w:rsidRPr="00584AF3">
        <w:rPr>
          <w:iCs/>
        </w:rPr>
        <w:t xml:space="preserve"> substituting </w:t>
      </w:r>
      <w:r>
        <w:rPr>
          <w:iCs/>
        </w:rPr>
        <w:t>–</w:t>
      </w:r>
    </w:p>
    <w:p w14:paraId="2B992710" w14:textId="77777777" w:rsidR="002F070F" w:rsidRPr="00584AF3" w:rsidRDefault="002F070F" w:rsidP="002F070F">
      <w:pPr>
        <w:tabs>
          <w:tab w:val="left" w:pos="851"/>
        </w:tabs>
        <w:rPr>
          <w:iCs/>
          <w:sz w:val="20"/>
          <w:szCs w:val="20"/>
        </w:rPr>
      </w:pPr>
    </w:p>
    <w:p w14:paraId="2D7C4EC8" w14:textId="77777777" w:rsidR="002F070F" w:rsidRPr="00584AF3" w:rsidRDefault="002F070F" w:rsidP="002F070F">
      <w:pPr>
        <w:pStyle w:val="Paragraph"/>
        <w:rPr>
          <w:rFonts w:eastAsiaTheme="minorHAnsi"/>
          <w:lang w:bidi="ar-SA"/>
        </w:rPr>
      </w:pPr>
      <w:r w:rsidRPr="00584AF3">
        <w:rPr>
          <w:rFonts w:eastAsiaTheme="minorHAnsi"/>
          <w:lang w:bidi="ar-SA"/>
        </w:rPr>
        <w:t>“(d)</w:t>
      </w:r>
      <w:r w:rsidRPr="00584AF3">
        <w:rPr>
          <w:rFonts w:eastAsiaTheme="minorHAnsi"/>
          <w:lang w:bidi="ar-SA"/>
        </w:rPr>
        <w:tab/>
        <w:t>an endorsement; or</w:t>
      </w:r>
    </w:p>
    <w:p w14:paraId="14E70A74" w14:textId="77777777" w:rsidR="002F070F" w:rsidRPr="00584AF3" w:rsidRDefault="002F070F" w:rsidP="002F070F">
      <w:pPr>
        <w:pStyle w:val="Paragraph"/>
        <w:rPr>
          <w:rFonts w:eastAsiaTheme="minorHAnsi"/>
          <w:lang w:bidi="ar-SA"/>
        </w:rPr>
      </w:pPr>
      <w:r w:rsidRPr="00584AF3">
        <w:rPr>
          <w:rFonts w:eastAsiaTheme="minorHAnsi"/>
          <w:lang w:bidi="ar-SA"/>
        </w:rPr>
        <w:t>(e)</w:t>
      </w:r>
      <w:r w:rsidRPr="00584AF3">
        <w:rPr>
          <w:rFonts w:eastAsiaTheme="minorHAnsi"/>
          <w:lang w:bidi="ar-SA"/>
        </w:rPr>
        <w:tab/>
        <w:t>a permitted Health Star Rating symbol.”</w:t>
      </w:r>
    </w:p>
    <w:p w14:paraId="7E88B5AA" w14:textId="77777777" w:rsidR="002F070F" w:rsidRPr="00584AF3" w:rsidRDefault="002F070F" w:rsidP="002F070F">
      <w:pPr>
        <w:tabs>
          <w:tab w:val="left" w:pos="851"/>
        </w:tabs>
        <w:rPr>
          <w:iCs/>
          <w:sz w:val="20"/>
          <w:szCs w:val="20"/>
        </w:rPr>
      </w:pPr>
      <w:r w:rsidRPr="00584AF3">
        <w:rPr>
          <w:iCs/>
          <w:sz w:val="20"/>
          <w:szCs w:val="20"/>
        </w:rPr>
        <w:t xml:space="preserve"> </w:t>
      </w:r>
    </w:p>
    <w:p w14:paraId="5DAE3D6E" w14:textId="77777777" w:rsidR="002F070F" w:rsidRPr="00584AF3" w:rsidRDefault="002F070F" w:rsidP="002F070F">
      <w:pPr>
        <w:tabs>
          <w:tab w:val="left" w:pos="851"/>
        </w:tabs>
        <w:rPr>
          <w:iCs/>
          <w:sz w:val="20"/>
          <w:szCs w:val="20"/>
        </w:rPr>
      </w:pPr>
      <w:r w:rsidRPr="00584AF3">
        <w:rPr>
          <w:iCs/>
          <w:sz w:val="20"/>
          <w:szCs w:val="20"/>
        </w:rPr>
        <w:t>[3.2]</w:t>
      </w:r>
      <w:r w:rsidRPr="00584AF3">
        <w:rPr>
          <w:iCs/>
          <w:sz w:val="20"/>
          <w:szCs w:val="20"/>
        </w:rPr>
        <w:tab/>
        <w:t xml:space="preserve">omitting “clause 8” from </w:t>
      </w:r>
      <w:r w:rsidRPr="00584AF3">
        <w:rPr>
          <w:sz w:val="20"/>
          <w:szCs w:val="20"/>
        </w:rPr>
        <w:t>subclause 4(4)</w:t>
      </w:r>
      <w:r>
        <w:rPr>
          <w:sz w:val="20"/>
          <w:szCs w:val="20"/>
        </w:rPr>
        <w:t xml:space="preserve"> and</w:t>
      </w:r>
      <w:r w:rsidRPr="00584AF3">
        <w:rPr>
          <w:sz w:val="20"/>
          <w:szCs w:val="20"/>
        </w:rPr>
        <w:t xml:space="preserve"> substituting “clauses 8 and 8A” </w:t>
      </w:r>
    </w:p>
    <w:p w14:paraId="00779CC7" w14:textId="77777777" w:rsidR="002F070F" w:rsidRPr="00584AF3" w:rsidRDefault="002F070F" w:rsidP="002F070F">
      <w:pPr>
        <w:rPr>
          <w:sz w:val="20"/>
          <w:szCs w:val="20"/>
        </w:rPr>
      </w:pPr>
    </w:p>
    <w:p w14:paraId="07C61C6B" w14:textId="5F429B5E" w:rsidR="002F070F" w:rsidRPr="00584AF3" w:rsidRDefault="002F070F" w:rsidP="002F070F">
      <w:pPr>
        <w:tabs>
          <w:tab w:val="left" w:pos="851"/>
        </w:tabs>
        <w:rPr>
          <w:sz w:val="20"/>
          <w:szCs w:val="20"/>
          <w:lang w:bidi="ar-SA"/>
        </w:rPr>
      </w:pPr>
      <w:r w:rsidRPr="00584AF3">
        <w:rPr>
          <w:sz w:val="20"/>
          <w:szCs w:val="20"/>
          <w:lang w:bidi="ar-SA"/>
        </w:rPr>
        <w:t>[3.3]</w:t>
      </w:r>
      <w:r w:rsidRPr="00584AF3">
        <w:rPr>
          <w:sz w:val="20"/>
          <w:szCs w:val="20"/>
          <w:lang w:bidi="ar-SA"/>
        </w:rPr>
        <w:tab/>
        <w:t>omitting “saturated fat” from paragraph 5(1)(e)</w:t>
      </w:r>
      <w:r>
        <w:rPr>
          <w:sz w:val="20"/>
          <w:szCs w:val="20"/>
          <w:lang w:bidi="ar-SA"/>
        </w:rPr>
        <w:t xml:space="preserve"> and</w:t>
      </w:r>
      <w:r w:rsidRPr="00584AF3">
        <w:rPr>
          <w:sz w:val="20"/>
          <w:szCs w:val="20"/>
          <w:lang w:bidi="ar-SA"/>
        </w:rPr>
        <w:t xml:space="preserve"> substituting “saturated fatty acids”</w:t>
      </w:r>
    </w:p>
    <w:p w14:paraId="563CE919" w14:textId="77777777" w:rsidR="002F070F" w:rsidRPr="00584AF3" w:rsidRDefault="002F070F" w:rsidP="002F070F">
      <w:pPr>
        <w:tabs>
          <w:tab w:val="left" w:pos="851"/>
        </w:tabs>
        <w:rPr>
          <w:sz w:val="20"/>
          <w:szCs w:val="20"/>
          <w:lang w:bidi="ar-SA"/>
        </w:rPr>
      </w:pPr>
    </w:p>
    <w:p w14:paraId="79C73A35" w14:textId="77777777" w:rsidR="002F070F" w:rsidRPr="00584AF3" w:rsidRDefault="002F070F" w:rsidP="002F070F">
      <w:pPr>
        <w:tabs>
          <w:tab w:val="left" w:pos="851"/>
        </w:tabs>
        <w:rPr>
          <w:sz w:val="20"/>
          <w:szCs w:val="20"/>
          <w:lang w:bidi="ar-SA"/>
        </w:rPr>
      </w:pPr>
      <w:r w:rsidRPr="00584AF3">
        <w:rPr>
          <w:sz w:val="20"/>
          <w:szCs w:val="20"/>
          <w:lang w:bidi="ar-SA"/>
        </w:rPr>
        <w:t>[3.4]</w:t>
      </w:r>
      <w:r w:rsidRPr="00584AF3">
        <w:rPr>
          <w:sz w:val="20"/>
          <w:szCs w:val="20"/>
          <w:lang w:bidi="ar-SA"/>
        </w:rPr>
        <w:tab/>
        <w:t>inserting after subclause 5(4)</w:t>
      </w:r>
      <w:r>
        <w:rPr>
          <w:sz w:val="20"/>
          <w:szCs w:val="20"/>
          <w:lang w:bidi="ar-SA"/>
        </w:rPr>
        <w:t xml:space="preserve"> –</w:t>
      </w:r>
    </w:p>
    <w:p w14:paraId="6B110ED8" w14:textId="77777777" w:rsidR="002F070F" w:rsidRPr="00584AF3" w:rsidRDefault="002F070F" w:rsidP="002F070F">
      <w:pPr>
        <w:tabs>
          <w:tab w:val="left" w:pos="851"/>
        </w:tabs>
        <w:rPr>
          <w:sz w:val="20"/>
          <w:szCs w:val="20"/>
          <w:lang w:bidi="ar-SA"/>
        </w:rPr>
      </w:pPr>
    </w:p>
    <w:p w14:paraId="08735D99" w14:textId="77777777" w:rsidR="002F070F" w:rsidRPr="00584AF3" w:rsidRDefault="002F070F" w:rsidP="002F070F">
      <w:pPr>
        <w:tabs>
          <w:tab w:val="left" w:pos="851"/>
        </w:tabs>
        <w:rPr>
          <w:sz w:val="20"/>
          <w:szCs w:val="20"/>
          <w:lang w:bidi="ar-SA"/>
        </w:rPr>
      </w:pPr>
      <w:r w:rsidRPr="00584AF3">
        <w:rPr>
          <w:sz w:val="20"/>
          <w:szCs w:val="20"/>
          <w:lang w:bidi="ar-SA"/>
        </w:rPr>
        <w:t>“(4A)</w:t>
      </w:r>
      <w:r w:rsidRPr="00584AF3">
        <w:rPr>
          <w:sz w:val="20"/>
          <w:szCs w:val="20"/>
          <w:lang w:bidi="ar-SA"/>
        </w:rPr>
        <w:tab/>
        <w:t>The nutrition information panel must include a declaration of the average quantity of galactose in accordance with subclause (7), where a claim requiring nutrition information is made about or based on lactose.</w:t>
      </w:r>
    </w:p>
    <w:p w14:paraId="4CDA6410" w14:textId="77777777" w:rsidR="002F070F" w:rsidRPr="00584AF3" w:rsidRDefault="002F070F" w:rsidP="002F070F">
      <w:pPr>
        <w:tabs>
          <w:tab w:val="left" w:pos="851"/>
        </w:tabs>
        <w:rPr>
          <w:sz w:val="20"/>
          <w:szCs w:val="20"/>
          <w:lang w:bidi="ar-SA"/>
        </w:rPr>
      </w:pPr>
    </w:p>
    <w:p w14:paraId="713D9D77" w14:textId="77777777" w:rsidR="002F070F" w:rsidRPr="00584AF3" w:rsidRDefault="002F070F" w:rsidP="002F070F">
      <w:pPr>
        <w:tabs>
          <w:tab w:val="left" w:pos="851"/>
        </w:tabs>
        <w:rPr>
          <w:sz w:val="20"/>
          <w:szCs w:val="20"/>
          <w:lang w:bidi="ar-SA"/>
        </w:rPr>
      </w:pPr>
      <w:r w:rsidRPr="00584AF3">
        <w:rPr>
          <w:sz w:val="20"/>
          <w:szCs w:val="20"/>
          <w:lang w:bidi="ar-SA"/>
        </w:rPr>
        <w:t>(4B)</w:t>
      </w:r>
      <w:r w:rsidRPr="00584AF3">
        <w:rPr>
          <w:sz w:val="20"/>
          <w:szCs w:val="20"/>
          <w:lang w:bidi="ar-SA"/>
        </w:rPr>
        <w:tab/>
        <w:t>The nutrition information panel must include a declaration of the average quantity of potassium in accordance with subclause (7), where a claim requiring nutrition information is made about or based on salt or sodium.</w:t>
      </w:r>
    </w:p>
    <w:p w14:paraId="63CECE65" w14:textId="77777777" w:rsidR="002F070F" w:rsidRPr="00584AF3" w:rsidRDefault="002F070F" w:rsidP="002F070F">
      <w:pPr>
        <w:tabs>
          <w:tab w:val="left" w:pos="851"/>
        </w:tabs>
        <w:rPr>
          <w:sz w:val="20"/>
          <w:szCs w:val="20"/>
          <w:lang w:bidi="ar-SA"/>
        </w:rPr>
      </w:pPr>
    </w:p>
    <w:p w14:paraId="0FD0F5C0" w14:textId="77777777" w:rsidR="002F070F" w:rsidRPr="00584AF3" w:rsidRDefault="002F070F" w:rsidP="002F070F">
      <w:pPr>
        <w:tabs>
          <w:tab w:val="left" w:pos="851"/>
        </w:tabs>
        <w:rPr>
          <w:sz w:val="20"/>
          <w:szCs w:val="20"/>
          <w:lang w:bidi="ar-SA"/>
        </w:rPr>
      </w:pPr>
      <w:r w:rsidRPr="00584AF3">
        <w:rPr>
          <w:sz w:val="20"/>
          <w:szCs w:val="20"/>
          <w:lang w:bidi="ar-SA"/>
        </w:rPr>
        <w:t>(4C)</w:t>
      </w:r>
      <w:r w:rsidRPr="00584AF3">
        <w:rPr>
          <w:sz w:val="20"/>
          <w:szCs w:val="20"/>
          <w:lang w:bidi="ar-SA"/>
        </w:rPr>
        <w:tab/>
        <w:t>The nutrition information panel must include a declaration of the following in accordance with subclause (7), where a claim requiring nutrition information is made about or based on omega-3 fatty acids</w:t>
      </w:r>
      <w:r>
        <w:rPr>
          <w:sz w:val="20"/>
          <w:szCs w:val="20"/>
          <w:lang w:bidi="ar-SA"/>
        </w:rPr>
        <w:t xml:space="preserve"> –</w:t>
      </w:r>
    </w:p>
    <w:p w14:paraId="5E70804B" w14:textId="77777777" w:rsidR="002F070F" w:rsidRPr="00584AF3" w:rsidRDefault="002F070F" w:rsidP="002F070F">
      <w:pPr>
        <w:ind w:left="1701" w:hanging="850"/>
        <w:rPr>
          <w:sz w:val="20"/>
          <w:szCs w:val="20"/>
          <w:lang w:bidi="ar-SA"/>
        </w:rPr>
      </w:pPr>
    </w:p>
    <w:p w14:paraId="1CF6AA45" w14:textId="77777777" w:rsidR="002F070F" w:rsidRPr="00584AF3" w:rsidRDefault="002F070F" w:rsidP="002F070F">
      <w:pPr>
        <w:pStyle w:val="Paragraph"/>
        <w:rPr>
          <w:lang w:bidi="ar-SA"/>
        </w:rPr>
      </w:pPr>
      <w:r>
        <w:rPr>
          <w:lang w:bidi="ar-SA"/>
        </w:rPr>
        <w:t>(a)</w:t>
      </w:r>
      <w:r>
        <w:rPr>
          <w:lang w:bidi="ar-SA"/>
        </w:rPr>
        <w:tab/>
      </w:r>
      <w:r w:rsidRPr="00584AF3">
        <w:rPr>
          <w:lang w:bidi="ar-SA"/>
        </w:rPr>
        <w:t>the average quantity of each type of omega-3 fatty acids (</w:t>
      </w:r>
      <w:r w:rsidRPr="00584AF3">
        <w:rPr>
          <w:rFonts w:eastAsiaTheme="minorHAnsi"/>
          <w:lang w:eastAsia="en-AU" w:bidi="ar-SA"/>
        </w:rPr>
        <w:t>that is, alpha</w:t>
      </w:r>
      <w:r w:rsidRPr="00584AF3">
        <w:rPr>
          <w:rFonts w:eastAsiaTheme="minorHAnsi"/>
          <w:lang w:eastAsia="en-AU" w:bidi="ar-SA"/>
        </w:rPr>
        <w:noBreakHyphen/>
        <w:t xml:space="preserve">linolenic acid, docosahexaenoic acid, eicosapentaenoic acid or a combination of these); </w:t>
      </w:r>
      <w:r w:rsidRPr="00584AF3">
        <w:rPr>
          <w:lang w:bidi="ar-SA"/>
        </w:rPr>
        <w:t>and</w:t>
      </w:r>
    </w:p>
    <w:p w14:paraId="3DEED78F" w14:textId="77777777" w:rsidR="002F070F" w:rsidRPr="00584AF3" w:rsidRDefault="002F070F" w:rsidP="002F070F">
      <w:pPr>
        <w:pStyle w:val="Paragraph"/>
        <w:rPr>
          <w:lang w:bidi="ar-SA"/>
        </w:rPr>
      </w:pPr>
      <w:r>
        <w:rPr>
          <w:lang w:bidi="ar-SA"/>
        </w:rPr>
        <w:t>(b)</w:t>
      </w:r>
      <w:r>
        <w:rPr>
          <w:lang w:bidi="ar-SA"/>
        </w:rPr>
        <w:tab/>
      </w:r>
      <w:r w:rsidRPr="00584AF3">
        <w:rPr>
          <w:lang w:bidi="ar-SA"/>
        </w:rPr>
        <w:t>the average quantity of the total of omega-3 fatty acids.”</w:t>
      </w:r>
    </w:p>
    <w:p w14:paraId="0ED04F29" w14:textId="77777777" w:rsidR="002F070F" w:rsidRPr="00584AF3" w:rsidRDefault="002F070F" w:rsidP="002F070F">
      <w:pPr>
        <w:tabs>
          <w:tab w:val="left" w:pos="851"/>
        </w:tabs>
        <w:rPr>
          <w:sz w:val="20"/>
          <w:szCs w:val="20"/>
          <w:lang w:bidi="ar-SA"/>
        </w:rPr>
      </w:pPr>
    </w:p>
    <w:p w14:paraId="687992F0" w14:textId="0E43B965" w:rsidR="002F070F" w:rsidRPr="00584AF3" w:rsidRDefault="002F070F" w:rsidP="002F070F">
      <w:pPr>
        <w:tabs>
          <w:tab w:val="left" w:pos="851"/>
        </w:tabs>
        <w:rPr>
          <w:sz w:val="20"/>
          <w:szCs w:val="20"/>
          <w:lang w:bidi="ar-SA"/>
        </w:rPr>
      </w:pPr>
      <w:r w:rsidRPr="00584AF3">
        <w:rPr>
          <w:sz w:val="20"/>
          <w:szCs w:val="20"/>
          <w:lang w:bidi="ar-SA"/>
        </w:rPr>
        <w:t>[3.5]</w:t>
      </w:r>
      <w:r w:rsidRPr="00584AF3">
        <w:rPr>
          <w:sz w:val="20"/>
          <w:szCs w:val="20"/>
          <w:lang w:bidi="ar-SA"/>
        </w:rPr>
        <w:tab/>
        <w:t xml:space="preserve">omitting </w:t>
      </w:r>
      <w:r w:rsidRPr="00584AF3">
        <w:rPr>
          <w:iCs/>
          <w:sz w:val="20"/>
          <w:szCs w:val="20"/>
        </w:rPr>
        <w:t xml:space="preserve">“subclause (4) and subclause (5)” from </w:t>
      </w:r>
      <w:r w:rsidRPr="00584AF3">
        <w:rPr>
          <w:sz w:val="20"/>
          <w:szCs w:val="20"/>
        </w:rPr>
        <w:t>subclause 5(7)</w:t>
      </w:r>
      <w:r w:rsidR="00136ED8">
        <w:rPr>
          <w:sz w:val="20"/>
          <w:szCs w:val="20"/>
        </w:rPr>
        <w:t xml:space="preserve"> and </w:t>
      </w:r>
      <w:r w:rsidRPr="00584AF3">
        <w:rPr>
          <w:sz w:val="20"/>
          <w:szCs w:val="20"/>
        </w:rPr>
        <w:t>substituting “subclauses (4), (4A), (4B), (4C) and (5)”</w:t>
      </w:r>
    </w:p>
    <w:p w14:paraId="1B06E020" w14:textId="77777777" w:rsidR="002F070F" w:rsidRPr="00584AF3" w:rsidRDefault="002F070F" w:rsidP="002F070F">
      <w:pPr>
        <w:tabs>
          <w:tab w:val="left" w:pos="851"/>
        </w:tabs>
        <w:rPr>
          <w:sz w:val="20"/>
          <w:szCs w:val="20"/>
          <w:lang w:bidi="ar-SA"/>
        </w:rPr>
      </w:pPr>
      <w:r w:rsidRPr="00584AF3">
        <w:rPr>
          <w:sz w:val="20"/>
          <w:szCs w:val="20"/>
          <w:lang w:bidi="ar-SA"/>
        </w:rPr>
        <w:t xml:space="preserve"> </w:t>
      </w:r>
    </w:p>
    <w:p w14:paraId="71D0E46B" w14:textId="77777777" w:rsidR="002F070F" w:rsidRPr="00584AF3" w:rsidRDefault="002F070F" w:rsidP="002F070F">
      <w:pPr>
        <w:tabs>
          <w:tab w:val="left" w:pos="851"/>
        </w:tabs>
        <w:rPr>
          <w:sz w:val="20"/>
          <w:szCs w:val="20"/>
          <w:lang w:bidi="ar-SA"/>
        </w:rPr>
      </w:pPr>
      <w:r w:rsidRPr="00584AF3">
        <w:rPr>
          <w:sz w:val="20"/>
          <w:szCs w:val="20"/>
          <w:lang w:bidi="ar-SA"/>
        </w:rPr>
        <w:t>[3.</w:t>
      </w:r>
      <w:r>
        <w:rPr>
          <w:sz w:val="20"/>
          <w:szCs w:val="20"/>
          <w:lang w:bidi="ar-SA"/>
        </w:rPr>
        <w:t>6</w:t>
      </w:r>
      <w:r w:rsidRPr="00584AF3">
        <w:rPr>
          <w:sz w:val="20"/>
          <w:szCs w:val="20"/>
          <w:lang w:bidi="ar-SA"/>
        </w:rPr>
        <w:t>]</w:t>
      </w:r>
      <w:r w:rsidRPr="00584AF3">
        <w:rPr>
          <w:sz w:val="20"/>
          <w:szCs w:val="20"/>
          <w:lang w:bidi="ar-SA"/>
        </w:rPr>
        <w:tab/>
        <w:t>omitting the Table to subclause 8(3)</w:t>
      </w:r>
      <w:r>
        <w:rPr>
          <w:sz w:val="20"/>
          <w:szCs w:val="20"/>
          <w:lang w:bidi="ar-SA"/>
        </w:rPr>
        <w:t xml:space="preserve"> and</w:t>
      </w:r>
      <w:r w:rsidRPr="00584AF3">
        <w:rPr>
          <w:sz w:val="20"/>
          <w:szCs w:val="20"/>
          <w:lang w:bidi="ar-SA"/>
        </w:rPr>
        <w:t xml:space="preserve"> substituting</w:t>
      </w:r>
      <w:r>
        <w:rPr>
          <w:sz w:val="20"/>
          <w:szCs w:val="20"/>
          <w:lang w:bidi="ar-SA"/>
        </w:rPr>
        <w:t xml:space="preserve"> –</w:t>
      </w:r>
    </w:p>
    <w:p w14:paraId="75D7D0EF" w14:textId="77777777" w:rsidR="002F070F" w:rsidRPr="00584AF3" w:rsidRDefault="002F070F" w:rsidP="002F070F">
      <w:pPr>
        <w:tabs>
          <w:tab w:val="left" w:pos="851"/>
        </w:tabs>
        <w:rPr>
          <w:sz w:val="20"/>
          <w:szCs w:val="20"/>
          <w:lang w:bidi="ar-SA"/>
        </w:rPr>
      </w:pPr>
    </w:p>
    <w:p w14:paraId="015641D5" w14:textId="77777777" w:rsidR="00BD1B22" w:rsidRDefault="00BD1B22" w:rsidP="002F070F">
      <w:pPr>
        <w:jc w:val="center"/>
        <w:rPr>
          <w:sz w:val="20"/>
          <w:szCs w:val="20"/>
          <w:lang w:bidi="ar-SA"/>
        </w:rPr>
      </w:pPr>
      <w:r>
        <w:rPr>
          <w:sz w:val="20"/>
          <w:szCs w:val="20"/>
          <w:lang w:bidi="ar-SA"/>
        </w:rPr>
        <w:br w:type="page"/>
      </w:r>
    </w:p>
    <w:p w14:paraId="73774899" w14:textId="352C58C5" w:rsidR="002F070F" w:rsidRPr="00584AF3" w:rsidRDefault="002F070F" w:rsidP="002F070F">
      <w:pPr>
        <w:jc w:val="center"/>
        <w:rPr>
          <w:b/>
          <w:sz w:val="20"/>
          <w:szCs w:val="20"/>
          <w:lang w:bidi="ar-SA"/>
        </w:rPr>
      </w:pPr>
      <w:r w:rsidRPr="00584AF3">
        <w:rPr>
          <w:sz w:val="20"/>
          <w:szCs w:val="20"/>
          <w:lang w:bidi="ar-SA"/>
        </w:rPr>
        <w:lastRenderedPageBreak/>
        <w:t>“</w:t>
      </w:r>
      <w:r w:rsidRPr="00584AF3">
        <w:rPr>
          <w:b/>
          <w:sz w:val="20"/>
          <w:szCs w:val="20"/>
          <w:lang w:bidi="ar-SA"/>
        </w:rPr>
        <w:t>Table to subclause 8(3)</w:t>
      </w:r>
    </w:p>
    <w:p w14:paraId="42290573" w14:textId="77777777" w:rsidR="002F070F" w:rsidRPr="00584AF3" w:rsidRDefault="002F070F" w:rsidP="002F070F">
      <w:pPr>
        <w:tabs>
          <w:tab w:val="left" w:pos="851"/>
        </w:tabs>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2F070F" w:rsidRPr="00584AF3" w14:paraId="39F4CE37" w14:textId="77777777" w:rsidTr="00606FA0">
        <w:trPr>
          <w:tblHeader/>
        </w:trPr>
        <w:tc>
          <w:tcPr>
            <w:tcW w:w="4618" w:type="dxa"/>
          </w:tcPr>
          <w:p w14:paraId="3AC2EDF6" w14:textId="77777777" w:rsidR="002F070F" w:rsidRPr="00584AF3" w:rsidRDefault="002F070F" w:rsidP="00606FA0">
            <w:pPr>
              <w:spacing w:after="120"/>
              <w:jc w:val="center"/>
              <w:rPr>
                <w:b/>
                <w:bCs/>
                <w:sz w:val="18"/>
                <w:szCs w:val="20"/>
                <w:lang w:bidi="ar-SA"/>
              </w:rPr>
            </w:pPr>
            <w:r w:rsidRPr="00584AF3">
              <w:rPr>
                <w:b/>
                <w:bCs/>
                <w:sz w:val="18"/>
                <w:szCs w:val="20"/>
                <w:lang w:bidi="ar-SA"/>
              </w:rPr>
              <w:t>Column 1</w:t>
            </w:r>
          </w:p>
        </w:tc>
        <w:tc>
          <w:tcPr>
            <w:tcW w:w="4618" w:type="dxa"/>
          </w:tcPr>
          <w:p w14:paraId="632FC065" w14:textId="77777777" w:rsidR="002F070F" w:rsidRPr="00584AF3" w:rsidRDefault="002F070F" w:rsidP="00606FA0">
            <w:pPr>
              <w:spacing w:after="120"/>
              <w:jc w:val="center"/>
              <w:rPr>
                <w:b/>
                <w:bCs/>
                <w:sz w:val="18"/>
                <w:szCs w:val="20"/>
                <w:lang w:bidi="ar-SA"/>
              </w:rPr>
            </w:pPr>
            <w:r w:rsidRPr="00584AF3">
              <w:rPr>
                <w:b/>
                <w:bCs/>
                <w:sz w:val="18"/>
                <w:szCs w:val="20"/>
                <w:lang w:bidi="ar-SA"/>
              </w:rPr>
              <w:t>Column 2</w:t>
            </w:r>
          </w:p>
        </w:tc>
      </w:tr>
      <w:tr w:rsidR="002F070F" w:rsidRPr="00584AF3" w14:paraId="79B11A2E" w14:textId="77777777" w:rsidTr="00606FA0">
        <w:trPr>
          <w:tblHeader/>
        </w:trPr>
        <w:tc>
          <w:tcPr>
            <w:tcW w:w="4618" w:type="dxa"/>
          </w:tcPr>
          <w:p w14:paraId="7F97E08E" w14:textId="77777777" w:rsidR="002F070F" w:rsidRPr="00584AF3" w:rsidRDefault="002F070F" w:rsidP="00606FA0">
            <w:pPr>
              <w:spacing w:after="120"/>
              <w:jc w:val="center"/>
              <w:rPr>
                <w:b/>
                <w:bCs/>
                <w:sz w:val="18"/>
                <w:szCs w:val="20"/>
                <w:lang w:bidi="ar-SA"/>
              </w:rPr>
            </w:pPr>
            <w:r w:rsidRPr="00584AF3">
              <w:rPr>
                <w:b/>
                <w:bCs/>
                <w:sz w:val="18"/>
                <w:szCs w:val="20"/>
                <w:lang w:bidi="ar-SA"/>
              </w:rPr>
              <w:t>Claim is about</w:t>
            </w:r>
          </w:p>
        </w:tc>
        <w:tc>
          <w:tcPr>
            <w:tcW w:w="4618" w:type="dxa"/>
          </w:tcPr>
          <w:p w14:paraId="008E99DB" w14:textId="77777777" w:rsidR="002F070F" w:rsidRPr="00584AF3" w:rsidRDefault="002F070F" w:rsidP="00606FA0">
            <w:pPr>
              <w:spacing w:after="120"/>
              <w:jc w:val="center"/>
              <w:rPr>
                <w:b/>
                <w:bCs/>
                <w:sz w:val="18"/>
                <w:szCs w:val="20"/>
                <w:lang w:bidi="ar-SA"/>
              </w:rPr>
            </w:pPr>
            <w:r w:rsidRPr="00584AF3">
              <w:rPr>
                <w:b/>
                <w:bCs/>
                <w:sz w:val="18"/>
                <w:szCs w:val="20"/>
                <w:lang w:bidi="ar-SA"/>
              </w:rPr>
              <w:t>Label must include</w:t>
            </w:r>
          </w:p>
        </w:tc>
      </w:tr>
      <w:tr w:rsidR="002F070F" w:rsidRPr="00584AF3" w14:paraId="7CB81243" w14:textId="77777777" w:rsidTr="00606FA0">
        <w:trPr>
          <w:cantSplit/>
        </w:trPr>
        <w:tc>
          <w:tcPr>
            <w:tcW w:w="4618" w:type="dxa"/>
          </w:tcPr>
          <w:p w14:paraId="1A465CB0" w14:textId="77777777" w:rsidR="002F070F" w:rsidRPr="00584AF3" w:rsidRDefault="002F070F" w:rsidP="00606FA0">
            <w:pPr>
              <w:ind w:left="142" w:hanging="142"/>
              <w:rPr>
                <w:bCs/>
                <w:sz w:val="18"/>
                <w:szCs w:val="20"/>
                <w:lang w:bidi="ar-SA"/>
              </w:rPr>
            </w:pPr>
            <w:r w:rsidRPr="00584AF3">
              <w:rPr>
                <w:bCs/>
                <w:sz w:val="18"/>
                <w:szCs w:val="20"/>
                <w:lang w:bidi="ar-SA"/>
              </w:rPr>
              <w:t>Any nutrient or biologically active substance (other than a vitamin or mineral with a RDI)</w:t>
            </w:r>
          </w:p>
        </w:tc>
        <w:tc>
          <w:tcPr>
            <w:tcW w:w="4618" w:type="dxa"/>
          </w:tcPr>
          <w:p w14:paraId="185E8243" w14:textId="77777777" w:rsidR="002F070F" w:rsidRPr="00584AF3" w:rsidRDefault="002F070F" w:rsidP="00606FA0">
            <w:pPr>
              <w:ind w:left="142" w:hanging="142"/>
              <w:rPr>
                <w:bCs/>
                <w:sz w:val="18"/>
                <w:szCs w:val="20"/>
                <w:lang w:bidi="ar-SA"/>
              </w:rPr>
            </w:pPr>
            <w:r w:rsidRPr="00584AF3">
              <w:rPr>
                <w:bCs/>
                <w:sz w:val="18"/>
                <w:szCs w:val="20"/>
                <w:lang w:bidi="ar-SA"/>
              </w:rPr>
              <w:t>Average quantity of the nutrient or biologically active substance present per serving of the food</w:t>
            </w:r>
          </w:p>
        </w:tc>
      </w:tr>
      <w:tr w:rsidR="002F070F" w:rsidRPr="00584AF3" w14:paraId="03EA1A7A" w14:textId="77777777" w:rsidTr="00606FA0">
        <w:trPr>
          <w:cantSplit/>
        </w:trPr>
        <w:tc>
          <w:tcPr>
            <w:tcW w:w="4618" w:type="dxa"/>
          </w:tcPr>
          <w:p w14:paraId="3CA190F2" w14:textId="77777777" w:rsidR="002F070F" w:rsidRPr="00584AF3" w:rsidRDefault="002F070F" w:rsidP="00606FA0">
            <w:pPr>
              <w:ind w:left="142" w:hanging="142"/>
              <w:rPr>
                <w:bCs/>
                <w:sz w:val="18"/>
                <w:szCs w:val="20"/>
                <w:lang w:bidi="ar-SA"/>
              </w:rPr>
            </w:pPr>
            <w:r w:rsidRPr="00584AF3">
              <w:rPr>
                <w:bCs/>
                <w:sz w:val="18"/>
                <w:szCs w:val="20"/>
                <w:lang w:bidi="ar-SA"/>
              </w:rPr>
              <w:t>Any vitamin or mineral with a RDI</w:t>
            </w:r>
          </w:p>
        </w:tc>
        <w:tc>
          <w:tcPr>
            <w:tcW w:w="4618" w:type="dxa"/>
          </w:tcPr>
          <w:p w14:paraId="1D427074" w14:textId="77777777" w:rsidR="002F070F" w:rsidRPr="00584AF3" w:rsidRDefault="002F070F" w:rsidP="00606FA0">
            <w:pPr>
              <w:ind w:left="284" w:hanging="284"/>
              <w:rPr>
                <w:bCs/>
                <w:sz w:val="18"/>
                <w:szCs w:val="20"/>
                <w:lang w:bidi="ar-SA"/>
              </w:rPr>
            </w:pPr>
            <w:r w:rsidRPr="00584AF3">
              <w:rPr>
                <w:bCs/>
                <w:sz w:val="18"/>
                <w:szCs w:val="20"/>
                <w:lang w:bidi="ar-SA"/>
              </w:rPr>
              <w:t xml:space="preserve">(a) </w:t>
            </w:r>
            <w:r w:rsidRPr="00584AF3">
              <w:rPr>
                <w:bCs/>
                <w:sz w:val="18"/>
                <w:szCs w:val="20"/>
                <w:lang w:bidi="ar-SA"/>
              </w:rPr>
              <w:tab/>
              <w:t>Average quantity of the vitamin or mineral present per serving of the food; and</w:t>
            </w:r>
          </w:p>
          <w:p w14:paraId="18E0D222" w14:textId="77777777" w:rsidR="002F070F" w:rsidRPr="00584AF3" w:rsidRDefault="002F070F" w:rsidP="00606FA0">
            <w:pPr>
              <w:ind w:left="284" w:hanging="284"/>
              <w:rPr>
                <w:bCs/>
                <w:sz w:val="18"/>
                <w:szCs w:val="20"/>
                <w:lang w:bidi="ar-SA"/>
              </w:rPr>
            </w:pPr>
            <w:r w:rsidRPr="00584AF3">
              <w:rPr>
                <w:bCs/>
                <w:sz w:val="18"/>
                <w:szCs w:val="20"/>
                <w:lang w:bidi="ar-SA"/>
              </w:rPr>
              <w:t xml:space="preserve">(b) </w:t>
            </w:r>
            <w:r w:rsidRPr="00584AF3">
              <w:rPr>
                <w:bCs/>
                <w:sz w:val="18"/>
                <w:szCs w:val="20"/>
                <w:lang w:bidi="ar-SA"/>
              </w:rPr>
              <w:tab/>
              <w:t>Percentage of the RDI for the vitamin or mineral contributed by one serving of the food, and calculated in accordance with clause 7A</w:t>
            </w:r>
          </w:p>
        </w:tc>
      </w:tr>
      <w:tr w:rsidR="002F070F" w:rsidRPr="00584AF3" w14:paraId="0504B551" w14:textId="77777777" w:rsidTr="00606FA0">
        <w:trPr>
          <w:cantSplit/>
        </w:trPr>
        <w:tc>
          <w:tcPr>
            <w:tcW w:w="4618" w:type="dxa"/>
          </w:tcPr>
          <w:p w14:paraId="47066FAB" w14:textId="77777777" w:rsidR="002F070F" w:rsidRPr="00584AF3" w:rsidRDefault="002F070F" w:rsidP="00606FA0">
            <w:pPr>
              <w:ind w:left="142" w:hanging="142"/>
              <w:rPr>
                <w:bCs/>
                <w:sz w:val="18"/>
                <w:szCs w:val="20"/>
                <w:lang w:bidi="ar-SA"/>
              </w:rPr>
            </w:pPr>
            <w:r w:rsidRPr="00584AF3">
              <w:rPr>
                <w:bCs/>
                <w:sz w:val="18"/>
                <w:szCs w:val="20"/>
                <w:lang w:bidi="ar-SA"/>
              </w:rPr>
              <w:t>Polyunsaturated fatty acids or monounsaturated fatty acids in a food standardised in Standard 2.4.1 or 2.4.2</w:t>
            </w:r>
          </w:p>
        </w:tc>
        <w:tc>
          <w:tcPr>
            <w:tcW w:w="4618" w:type="dxa"/>
          </w:tcPr>
          <w:p w14:paraId="5CF6D98C" w14:textId="77777777" w:rsidR="002F070F" w:rsidRPr="00584AF3" w:rsidRDefault="002F070F" w:rsidP="00606FA0">
            <w:pPr>
              <w:ind w:left="142" w:hanging="142"/>
              <w:rPr>
                <w:bCs/>
                <w:sz w:val="18"/>
                <w:szCs w:val="20"/>
                <w:lang w:bidi="ar-SA"/>
              </w:rPr>
            </w:pPr>
            <w:r w:rsidRPr="00584AF3">
              <w:rPr>
                <w:bCs/>
                <w:sz w:val="18"/>
                <w:szCs w:val="20"/>
                <w:lang w:bidi="ar-SA"/>
              </w:rPr>
              <w:t>Minimum, maximum or average quantity of saturated fatty acids, trans fatty acids, polyunsaturated fatty acids and monounsaturated fatty acids content per serving of the food</w:t>
            </w:r>
          </w:p>
        </w:tc>
      </w:tr>
      <w:tr w:rsidR="002F070F" w:rsidRPr="00584AF3" w14:paraId="5595F386" w14:textId="77777777" w:rsidTr="00606FA0">
        <w:trPr>
          <w:cantSplit/>
        </w:trPr>
        <w:tc>
          <w:tcPr>
            <w:tcW w:w="4618" w:type="dxa"/>
          </w:tcPr>
          <w:p w14:paraId="20AC95A8" w14:textId="77777777" w:rsidR="002F070F" w:rsidRPr="00584AF3" w:rsidRDefault="002F070F" w:rsidP="00606FA0">
            <w:pPr>
              <w:ind w:left="142" w:hanging="142"/>
              <w:rPr>
                <w:bCs/>
                <w:sz w:val="18"/>
                <w:szCs w:val="18"/>
                <w:lang w:bidi="ar-SA"/>
              </w:rPr>
            </w:pPr>
            <w:r w:rsidRPr="00584AF3">
              <w:rPr>
                <w:bCs/>
                <w:sz w:val="18"/>
                <w:szCs w:val="18"/>
                <w:lang w:bidi="ar-SA"/>
              </w:rPr>
              <w:t>Polyunsaturated fatty acids or monounsaturated fatty acids in a food that is not a food standardised in Standard 2.4.1 or 2.4.2</w:t>
            </w:r>
          </w:p>
        </w:tc>
        <w:tc>
          <w:tcPr>
            <w:tcW w:w="4618" w:type="dxa"/>
          </w:tcPr>
          <w:p w14:paraId="17F60E79" w14:textId="77777777" w:rsidR="002F070F" w:rsidRPr="00584AF3" w:rsidRDefault="002F070F" w:rsidP="00606FA0">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2F070F" w:rsidRPr="00584AF3" w14:paraId="46B862BE" w14:textId="77777777" w:rsidTr="00606FA0">
        <w:tc>
          <w:tcPr>
            <w:tcW w:w="4618" w:type="dxa"/>
          </w:tcPr>
          <w:p w14:paraId="74AC4507" w14:textId="77777777" w:rsidR="002F070F" w:rsidRPr="00584AF3" w:rsidRDefault="002F070F" w:rsidP="00606FA0">
            <w:pPr>
              <w:ind w:left="142" w:hanging="142"/>
              <w:rPr>
                <w:bCs/>
                <w:sz w:val="18"/>
                <w:szCs w:val="20"/>
                <w:lang w:bidi="ar-SA"/>
              </w:rPr>
            </w:pPr>
            <w:r w:rsidRPr="00584AF3">
              <w:rPr>
                <w:bCs/>
                <w:iCs/>
                <w:sz w:val="18"/>
                <w:szCs w:val="18"/>
                <w:lang w:val="en-NZ" w:bidi="ar-SA"/>
              </w:rPr>
              <w:t>Cholesterol, saturated fatty acids, trans fatty acids, omega-6 or omega-9 fatty acids</w:t>
            </w:r>
          </w:p>
        </w:tc>
        <w:tc>
          <w:tcPr>
            <w:tcW w:w="4618" w:type="dxa"/>
          </w:tcPr>
          <w:p w14:paraId="0FE10639" w14:textId="77777777" w:rsidR="002F070F" w:rsidRPr="00584AF3" w:rsidRDefault="002F070F" w:rsidP="00606FA0">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2F070F" w:rsidRPr="00584AF3" w14:paraId="0B7996F9" w14:textId="77777777" w:rsidTr="00606FA0">
        <w:tc>
          <w:tcPr>
            <w:tcW w:w="4618" w:type="dxa"/>
          </w:tcPr>
          <w:p w14:paraId="2AB0E90B" w14:textId="77777777" w:rsidR="002F070F" w:rsidRPr="00584AF3" w:rsidRDefault="002F070F" w:rsidP="00606FA0">
            <w:pPr>
              <w:ind w:left="142" w:hanging="142"/>
              <w:rPr>
                <w:bCs/>
                <w:sz w:val="18"/>
                <w:szCs w:val="20"/>
                <w:lang w:bidi="ar-SA"/>
              </w:rPr>
            </w:pPr>
            <w:r w:rsidRPr="00584AF3">
              <w:rPr>
                <w:bCs/>
                <w:sz w:val="18"/>
                <w:szCs w:val="20"/>
                <w:lang w:bidi="ar-SA"/>
              </w:rPr>
              <w:t>Dietary fibre, sugars or any other carbohydrate</w:t>
            </w:r>
          </w:p>
        </w:tc>
        <w:tc>
          <w:tcPr>
            <w:tcW w:w="4618" w:type="dxa"/>
          </w:tcPr>
          <w:p w14:paraId="5FE9128D" w14:textId="77777777" w:rsidR="002F070F" w:rsidRPr="00584AF3" w:rsidRDefault="002F070F" w:rsidP="00606FA0">
            <w:pPr>
              <w:ind w:left="142" w:hanging="142"/>
              <w:rPr>
                <w:bCs/>
                <w:sz w:val="18"/>
                <w:szCs w:val="20"/>
                <w:lang w:bidi="ar-SA"/>
              </w:rPr>
            </w:pPr>
            <w:r w:rsidRPr="00584AF3">
              <w:rPr>
                <w:bCs/>
                <w:sz w:val="18"/>
                <w:szCs w:val="20"/>
                <w:lang w:bidi="ar-SA"/>
              </w:rPr>
              <w:t>Average energy content per serving of the food and average quantity of carbohydrate, sugars and dietary fibre (calculated in accordance with clause 18) present per serving of the food</w:t>
            </w:r>
          </w:p>
        </w:tc>
      </w:tr>
      <w:tr w:rsidR="002F070F" w:rsidRPr="00584AF3" w14:paraId="7FF0355F" w14:textId="77777777" w:rsidTr="00606FA0">
        <w:tc>
          <w:tcPr>
            <w:tcW w:w="4618" w:type="dxa"/>
          </w:tcPr>
          <w:p w14:paraId="52A18993" w14:textId="77777777" w:rsidR="002F070F" w:rsidRPr="00584AF3" w:rsidRDefault="002F070F" w:rsidP="00606FA0">
            <w:pPr>
              <w:ind w:left="142" w:hanging="142"/>
              <w:rPr>
                <w:bCs/>
                <w:sz w:val="18"/>
                <w:szCs w:val="20"/>
                <w:lang w:bidi="ar-SA"/>
              </w:rPr>
            </w:pPr>
            <w:r w:rsidRPr="00584AF3">
              <w:rPr>
                <w:bCs/>
                <w:sz w:val="18"/>
                <w:szCs w:val="20"/>
                <w:lang w:bidi="ar-SA"/>
              </w:rPr>
              <w:t>Energy</w:t>
            </w:r>
          </w:p>
        </w:tc>
        <w:tc>
          <w:tcPr>
            <w:tcW w:w="4618" w:type="dxa"/>
          </w:tcPr>
          <w:p w14:paraId="1A27B24F" w14:textId="77777777" w:rsidR="002F070F" w:rsidRPr="00584AF3" w:rsidRDefault="002F070F" w:rsidP="00606FA0">
            <w:pPr>
              <w:ind w:left="142" w:hanging="142"/>
              <w:rPr>
                <w:bCs/>
                <w:sz w:val="18"/>
                <w:szCs w:val="20"/>
                <w:lang w:bidi="ar-SA"/>
              </w:rPr>
            </w:pPr>
            <w:r w:rsidRPr="00584AF3">
              <w:rPr>
                <w:bCs/>
                <w:sz w:val="18"/>
                <w:szCs w:val="20"/>
                <w:lang w:bidi="ar-SA"/>
              </w:rPr>
              <w:t>Average energy content per serving of the food</w:t>
            </w:r>
          </w:p>
        </w:tc>
      </w:tr>
      <w:tr w:rsidR="002F070F" w:rsidRPr="00584AF3" w14:paraId="507D6BB9" w14:textId="77777777" w:rsidTr="00606FA0">
        <w:tc>
          <w:tcPr>
            <w:tcW w:w="4618" w:type="dxa"/>
            <w:tcBorders>
              <w:bottom w:val="single" w:sz="4" w:space="0" w:color="auto"/>
            </w:tcBorders>
          </w:tcPr>
          <w:p w14:paraId="3D3C71F3" w14:textId="77777777" w:rsidR="002F070F" w:rsidRPr="00584AF3" w:rsidRDefault="002F070F" w:rsidP="00606FA0">
            <w:pPr>
              <w:ind w:left="142" w:hanging="142"/>
              <w:rPr>
                <w:bCs/>
                <w:sz w:val="18"/>
                <w:szCs w:val="20"/>
                <w:lang w:bidi="ar-SA"/>
              </w:rPr>
            </w:pPr>
            <w:r w:rsidRPr="00584AF3">
              <w:rPr>
                <w:bCs/>
                <w:sz w:val="18"/>
                <w:szCs w:val="20"/>
                <w:lang w:bidi="ar-SA"/>
              </w:rPr>
              <w:t>Fat-free</w:t>
            </w:r>
          </w:p>
        </w:tc>
        <w:tc>
          <w:tcPr>
            <w:tcW w:w="4618" w:type="dxa"/>
            <w:tcBorders>
              <w:bottom w:val="single" w:sz="4" w:space="0" w:color="auto"/>
            </w:tcBorders>
          </w:tcPr>
          <w:p w14:paraId="52EC5B75" w14:textId="77777777" w:rsidR="002F070F" w:rsidRPr="00584AF3" w:rsidRDefault="002F070F" w:rsidP="00606FA0">
            <w:pPr>
              <w:ind w:left="142" w:hanging="142"/>
              <w:rPr>
                <w:bCs/>
                <w:sz w:val="18"/>
                <w:szCs w:val="20"/>
                <w:lang w:bidi="ar-SA"/>
              </w:rPr>
            </w:pPr>
            <w:r w:rsidRPr="00584AF3">
              <w:rPr>
                <w:bCs/>
                <w:sz w:val="18"/>
                <w:szCs w:val="20"/>
                <w:lang w:bidi="ar-SA"/>
              </w:rPr>
              <w:t>Average energy content per serving of the food</w:t>
            </w:r>
          </w:p>
        </w:tc>
      </w:tr>
      <w:tr w:rsidR="002F070F" w:rsidRPr="00584AF3" w14:paraId="2C94E97E" w14:textId="77777777" w:rsidTr="00606FA0">
        <w:trPr>
          <w:cantSplit/>
        </w:trPr>
        <w:tc>
          <w:tcPr>
            <w:tcW w:w="4618" w:type="dxa"/>
            <w:tcBorders>
              <w:top w:val="single" w:sz="4" w:space="0" w:color="auto"/>
              <w:left w:val="single" w:sz="4" w:space="0" w:color="auto"/>
              <w:bottom w:val="single" w:sz="4" w:space="0" w:color="auto"/>
              <w:right w:val="single" w:sz="4" w:space="0" w:color="auto"/>
            </w:tcBorders>
          </w:tcPr>
          <w:p w14:paraId="769A7856" w14:textId="77777777" w:rsidR="002F070F" w:rsidRPr="00584AF3" w:rsidRDefault="002F070F" w:rsidP="00606FA0">
            <w:pPr>
              <w:ind w:left="142" w:hanging="142"/>
              <w:rPr>
                <w:bCs/>
                <w:sz w:val="18"/>
                <w:szCs w:val="20"/>
                <w:lang w:bidi="ar-SA"/>
              </w:rPr>
            </w:pPr>
            <w:r w:rsidRPr="00584AF3">
              <w:rPr>
                <w:bCs/>
                <w:sz w:val="18"/>
                <w:szCs w:val="20"/>
                <w:lang w:bidi="ar-SA"/>
              </w:rPr>
              <w:t>Omega-3 fatty acids</w:t>
            </w:r>
          </w:p>
        </w:tc>
        <w:tc>
          <w:tcPr>
            <w:tcW w:w="4618" w:type="dxa"/>
            <w:tcBorders>
              <w:top w:val="single" w:sz="4" w:space="0" w:color="auto"/>
              <w:left w:val="single" w:sz="4" w:space="0" w:color="auto"/>
              <w:bottom w:val="single" w:sz="4" w:space="0" w:color="auto"/>
              <w:right w:val="single" w:sz="4" w:space="0" w:color="auto"/>
            </w:tcBorders>
          </w:tcPr>
          <w:p w14:paraId="1F077D2C" w14:textId="77777777" w:rsidR="002F070F" w:rsidRPr="00584AF3" w:rsidRDefault="002F070F" w:rsidP="00606FA0">
            <w:pPr>
              <w:ind w:left="284" w:hanging="284"/>
              <w:rPr>
                <w:bCs/>
                <w:sz w:val="18"/>
                <w:szCs w:val="18"/>
                <w:lang w:bidi="ar-SA"/>
              </w:rPr>
            </w:pPr>
            <w:r w:rsidRPr="00584AF3">
              <w:rPr>
                <w:bCs/>
                <w:sz w:val="18"/>
                <w:szCs w:val="20"/>
                <w:lang w:bidi="ar-SA"/>
              </w:rPr>
              <w:t xml:space="preserve">(a) </w:t>
            </w:r>
            <w:r w:rsidRPr="00584AF3">
              <w:rPr>
                <w:bCs/>
                <w:sz w:val="18"/>
                <w:szCs w:val="20"/>
                <w:lang w:bidi="ar-SA"/>
              </w:rPr>
              <w:tab/>
            </w:r>
            <w:r w:rsidRPr="00584AF3">
              <w:rPr>
                <w:sz w:val="18"/>
                <w:szCs w:val="18"/>
                <w:lang w:bidi="ar-SA"/>
              </w:rPr>
              <w:t>Average quantity of saturated fatty acids, trans fatty acids, polyunsaturated fatty acids and monounsaturated fatty acids content per serving of the food</w:t>
            </w:r>
            <w:r w:rsidRPr="00584AF3">
              <w:rPr>
                <w:bCs/>
                <w:sz w:val="18"/>
                <w:szCs w:val="18"/>
                <w:lang w:bidi="ar-SA"/>
              </w:rPr>
              <w:t>; and</w:t>
            </w:r>
          </w:p>
          <w:p w14:paraId="7D59B31C" w14:textId="77777777" w:rsidR="002F070F" w:rsidRPr="00584AF3" w:rsidRDefault="002F070F" w:rsidP="00606FA0">
            <w:pPr>
              <w:ind w:left="284" w:hanging="284"/>
              <w:rPr>
                <w:bCs/>
                <w:sz w:val="18"/>
                <w:szCs w:val="18"/>
                <w:lang w:bidi="ar-SA"/>
              </w:rPr>
            </w:pPr>
            <w:r w:rsidRPr="00584AF3">
              <w:rPr>
                <w:bCs/>
                <w:sz w:val="18"/>
                <w:szCs w:val="20"/>
                <w:lang w:bidi="ar-SA"/>
              </w:rPr>
              <w:t>(b)</w:t>
            </w:r>
            <w:r w:rsidRPr="00584AF3">
              <w:rPr>
                <w:bCs/>
                <w:sz w:val="18"/>
                <w:szCs w:val="20"/>
                <w:lang w:bidi="ar-SA"/>
              </w:rPr>
              <w:tab/>
            </w:r>
            <w:r w:rsidRPr="00584AF3">
              <w:rPr>
                <w:sz w:val="18"/>
                <w:szCs w:val="18"/>
                <w:lang w:bidi="ar-SA"/>
              </w:rPr>
              <w:t xml:space="preserve">the average quantity of each type of omega-3 fatty acids </w:t>
            </w:r>
            <w:r w:rsidRPr="00584AF3">
              <w:rPr>
                <w:bCs/>
                <w:sz w:val="18"/>
                <w:szCs w:val="18"/>
                <w:lang w:bidi="ar-SA"/>
              </w:rPr>
              <w:t>per serving of the food</w:t>
            </w:r>
            <w:r w:rsidRPr="00584AF3">
              <w:rPr>
                <w:sz w:val="18"/>
                <w:szCs w:val="18"/>
                <w:lang w:bidi="ar-SA"/>
              </w:rPr>
              <w:t xml:space="preserve"> (</w:t>
            </w:r>
            <w:r w:rsidRPr="00584AF3">
              <w:rPr>
                <w:rFonts w:eastAsiaTheme="minorHAnsi" w:cstheme="minorBidi"/>
                <w:bCs/>
                <w:sz w:val="18"/>
                <w:szCs w:val="18"/>
                <w:lang w:eastAsia="en-AU" w:bidi="ar-SA"/>
              </w:rPr>
              <w:t>that is, alpha</w:t>
            </w:r>
            <w:r w:rsidRPr="00584AF3">
              <w:rPr>
                <w:rFonts w:eastAsiaTheme="minorHAnsi" w:cstheme="minorBidi"/>
                <w:bCs/>
                <w:sz w:val="18"/>
                <w:szCs w:val="18"/>
                <w:lang w:eastAsia="en-AU" w:bidi="ar-SA"/>
              </w:rPr>
              <w:noBreakHyphen/>
              <w:t>linolenic acid, docosahexaenoic acid, eicosapentaenoic acid or a combination of these)</w:t>
            </w:r>
            <w:r w:rsidRPr="00584AF3">
              <w:rPr>
                <w:bCs/>
                <w:sz w:val="18"/>
                <w:szCs w:val="18"/>
                <w:lang w:bidi="ar-SA"/>
              </w:rPr>
              <w:t>; and</w:t>
            </w:r>
          </w:p>
          <w:p w14:paraId="753926DD" w14:textId="77777777" w:rsidR="002F070F" w:rsidRPr="00584AF3" w:rsidRDefault="002F070F" w:rsidP="00606FA0">
            <w:pPr>
              <w:ind w:left="284" w:hanging="284"/>
              <w:rPr>
                <w:bCs/>
                <w:sz w:val="18"/>
                <w:szCs w:val="20"/>
                <w:lang w:bidi="ar-SA"/>
              </w:rPr>
            </w:pPr>
            <w:r w:rsidRPr="00584AF3">
              <w:rPr>
                <w:bCs/>
                <w:sz w:val="18"/>
                <w:szCs w:val="18"/>
                <w:lang w:bidi="ar-SA"/>
              </w:rPr>
              <w:t xml:space="preserve">(c)  </w:t>
            </w:r>
            <w:r w:rsidRPr="00584AF3">
              <w:rPr>
                <w:sz w:val="18"/>
                <w:szCs w:val="18"/>
                <w:lang w:bidi="ar-SA"/>
              </w:rPr>
              <w:t>the average quantity of the total of omega-3 fatty acids per serving of the food</w:t>
            </w:r>
          </w:p>
        </w:tc>
      </w:tr>
      <w:tr w:rsidR="002F070F" w:rsidRPr="00584AF3" w14:paraId="3F3863D2" w14:textId="77777777" w:rsidTr="00606FA0">
        <w:tc>
          <w:tcPr>
            <w:tcW w:w="4618" w:type="dxa"/>
            <w:tcBorders>
              <w:top w:val="single" w:sz="4" w:space="0" w:color="auto"/>
            </w:tcBorders>
          </w:tcPr>
          <w:p w14:paraId="67CE4E54" w14:textId="77777777" w:rsidR="002F070F" w:rsidRPr="00584AF3" w:rsidRDefault="002F070F" w:rsidP="00606FA0">
            <w:pPr>
              <w:ind w:left="142" w:hanging="142"/>
              <w:rPr>
                <w:bCs/>
                <w:sz w:val="18"/>
                <w:szCs w:val="20"/>
                <w:lang w:bidi="ar-SA"/>
              </w:rPr>
            </w:pPr>
            <w:r w:rsidRPr="00584AF3">
              <w:rPr>
                <w:bCs/>
                <w:sz w:val="18"/>
                <w:szCs w:val="20"/>
                <w:lang w:bidi="ar-SA"/>
              </w:rPr>
              <w:t>Lactose</w:t>
            </w:r>
          </w:p>
        </w:tc>
        <w:tc>
          <w:tcPr>
            <w:tcW w:w="4618" w:type="dxa"/>
            <w:tcBorders>
              <w:top w:val="single" w:sz="4" w:space="0" w:color="auto"/>
            </w:tcBorders>
          </w:tcPr>
          <w:p w14:paraId="709FD843" w14:textId="77777777" w:rsidR="002F070F" w:rsidRPr="00584AF3" w:rsidRDefault="002F070F" w:rsidP="00606FA0">
            <w:pPr>
              <w:ind w:left="142" w:hanging="142"/>
              <w:rPr>
                <w:bCs/>
                <w:sz w:val="18"/>
                <w:szCs w:val="20"/>
                <w:lang w:bidi="ar-SA"/>
              </w:rPr>
            </w:pPr>
            <w:r w:rsidRPr="00584AF3">
              <w:rPr>
                <w:bCs/>
                <w:sz w:val="18"/>
                <w:szCs w:val="20"/>
                <w:lang w:bidi="ar-SA"/>
              </w:rPr>
              <w:t>Average quantity of galactose content per serving of the food</w:t>
            </w:r>
          </w:p>
        </w:tc>
      </w:tr>
      <w:tr w:rsidR="002F070F" w:rsidRPr="00584AF3" w14:paraId="7AE35711" w14:textId="77777777" w:rsidTr="00606FA0">
        <w:tc>
          <w:tcPr>
            <w:tcW w:w="4618" w:type="dxa"/>
          </w:tcPr>
          <w:p w14:paraId="715A5544" w14:textId="77777777" w:rsidR="002F070F" w:rsidRPr="00584AF3" w:rsidRDefault="002F070F" w:rsidP="00606FA0">
            <w:pPr>
              <w:ind w:left="142" w:hanging="142"/>
              <w:rPr>
                <w:bCs/>
                <w:sz w:val="18"/>
                <w:szCs w:val="20"/>
                <w:lang w:bidi="ar-SA"/>
              </w:rPr>
            </w:pPr>
            <w:r w:rsidRPr="00584AF3">
              <w:rPr>
                <w:bCs/>
                <w:sz w:val="18"/>
                <w:szCs w:val="20"/>
                <w:lang w:bidi="ar-SA"/>
              </w:rPr>
              <w:t>Potassium</w:t>
            </w:r>
          </w:p>
        </w:tc>
        <w:tc>
          <w:tcPr>
            <w:tcW w:w="4618" w:type="dxa"/>
          </w:tcPr>
          <w:p w14:paraId="3185F3B6" w14:textId="77777777" w:rsidR="002F070F" w:rsidRPr="00584AF3" w:rsidRDefault="002F070F" w:rsidP="00606FA0">
            <w:pPr>
              <w:ind w:left="142" w:hanging="142"/>
              <w:rPr>
                <w:bCs/>
                <w:sz w:val="18"/>
                <w:szCs w:val="20"/>
                <w:lang w:bidi="ar-SA"/>
              </w:rPr>
            </w:pPr>
            <w:r w:rsidRPr="00584AF3">
              <w:rPr>
                <w:bCs/>
                <w:sz w:val="18"/>
                <w:szCs w:val="20"/>
                <w:lang w:bidi="ar-SA"/>
              </w:rPr>
              <w:t>Average quantity of sodium content per serving of the food</w:t>
            </w:r>
          </w:p>
        </w:tc>
      </w:tr>
      <w:tr w:rsidR="002F070F" w:rsidRPr="00584AF3" w14:paraId="01CA3B7A" w14:textId="77777777" w:rsidTr="00606FA0">
        <w:tc>
          <w:tcPr>
            <w:tcW w:w="4618" w:type="dxa"/>
          </w:tcPr>
          <w:p w14:paraId="7E903217" w14:textId="77777777" w:rsidR="002F070F" w:rsidRPr="00584AF3" w:rsidRDefault="002F070F" w:rsidP="00606FA0">
            <w:pPr>
              <w:ind w:left="142" w:hanging="142"/>
              <w:rPr>
                <w:bCs/>
                <w:sz w:val="18"/>
                <w:szCs w:val="20"/>
                <w:lang w:bidi="ar-SA"/>
              </w:rPr>
            </w:pPr>
            <w:r w:rsidRPr="00584AF3">
              <w:rPr>
                <w:bCs/>
                <w:sz w:val="18"/>
                <w:szCs w:val="20"/>
                <w:lang w:bidi="ar-SA"/>
              </w:rPr>
              <w:t>Sodium or salt</w:t>
            </w:r>
          </w:p>
        </w:tc>
        <w:tc>
          <w:tcPr>
            <w:tcW w:w="4618" w:type="dxa"/>
          </w:tcPr>
          <w:p w14:paraId="7CDE936A" w14:textId="77777777" w:rsidR="002F070F" w:rsidRPr="00584AF3" w:rsidRDefault="002F070F" w:rsidP="00606FA0">
            <w:pPr>
              <w:ind w:left="142" w:hanging="142"/>
              <w:rPr>
                <w:bCs/>
                <w:sz w:val="18"/>
                <w:szCs w:val="20"/>
                <w:lang w:bidi="ar-SA"/>
              </w:rPr>
            </w:pPr>
            <w:r w:rsidRPr="00584AF3">
              <w:rPr>
                <w:bCs/>
                <w:sz w:val="18"/>
                <w:szCs w:val="20"/>
                <w:lang w:bidi="ar-SA"/>
              </w:rPr>
              <w:t>Average quantity of sodium and potassium content per serving of the food</w:t>
            </w:r>
          </w:p>
        </w:tc>
      </w:tr>
    </w:tbl>
    <w:p w14:paraId="46587570" w14:textId="77777777" w:rsidR="002F070F" w:rsidRPr="00584AF3" w:rsidRDefault="002F070F" w:rsidP="002F070F">
      <w:pPr>
        <w:tabs>
          <w:tab w:val="left" w:pos="851"/>
        </w:tabs>
        <w:jc w:val="right"/>
        <w:rPr>
          <w:sz w:val="20"/>
          <w:szCs w:val="20"/>
          <w:lang w:bidi="ar-SA"/>
        </w:rPr>
      </w:pPr>
      <w:r w:rsidRPr="00584AF3">
        <w:rPr>
          <w:sz w:val="20"/>
          <w:szCs w:val="20"/>
          <w:lang w:bidi="ar-SA"/>
        </w:rPr>
        <w:t>”</w:t>
      </w:r>
    </w:p>
    <w:p w14:paraId="4A9E136B" w14:textId="77777777" w:rsidR="002F070F" w:rsidRPr="00584AF3" w:rsidRDefault="002F070F" w:rsidP="002F070F">
      <w:pPr>
        <w:tabs>
          <w:tab w:val="left" w:pos="851"/>
        </w:tabs>
        <w:jc w:val="right"/>
        <w:rPr>
          <w:sz w:val="20"/>
          <w:szCs w:val="20"/>
          <w:lang w:bidi="ar-SA"/>
        </w:rPr>
      </w:pPr>
    </w:p>
    <w:p w14:paraId="2D5BD686" w14:textId="77777777" w:rsidR="002F070F" w:rsidRDefault="002F070F" w:rsidP="002F070F">
      <w:pPr>
        <w:tabs>
          <w:tab w:val="left" w:pos="851"/>
        </w:tabs>
        <w:rPr>
          <w:sz w:val="20"/>
          <w:szCs w:val="20"/>
        </w:rPr>
      </w:pPr>
      <w:r w:rsidRPr="00584AF3">
        <w:rPr>
          <w:sz w:val="20"/>
          <w:szCs w:val="20"/>
          <w:lang w:bidi="ar-SA"/>
        </w:rPr>
        <w:t>[3.</w:t>
      </w:r>
      <w:r>
        <w:rPr>
          <w:sz w:val="20"/>
          <w:szCs w:val="20"/>
          <w:lang w:bidi="ar-SA"/>
        </w:rPr>
        <w:t>7</w:t>
      </w:r>
      <w:r w:rsidRPr="00584AF3">
        <w:rPr>
          <w:sz w:val="20"/>
          <w:szCs w:val="20"/>
          <w:lang w:bidi="ar-SA"/>
        </w:rPr>
        <w:t>]</w:t>
      </w:r>
      <w:r w:rsidRPr="00584AF3">
        <w:rPr>
          <w:sz w:val="20"/>
          <w:szCs w:val="20"/>
          <w:lang w:bidi="ar-SA"/>
        </w:rPr>
        <w:tab/>
        <w:t xml:space="preserve">omitting </w:t>
      </w:r>
      <w:r w:rsidRPr="00584AF3">
        <w:rPr>
          <w:sz w:val="20"/>
          <w:szCs w:val="20"/>
        </w:rPr>
        <w:t>“‘metric cup’ or”</w:t>
      </w:r>
      <w:r w:rsidRPr="00584AF3">
        <w:rPr>
          <w:sz w:val="20"/>
          <w:szCs w:val="20"/>
          <w:lang w:bidi="ar-SA"/>
        </w:rPr>
        <w:t xml:space="preserve"> </w:t>
      </w:r>
      <w:r w:rsidRPr="00584AF3">
        <w:rPr>
          <w:sz w:val="20"/>
          <w:szCs w:val="20"/>
        </w:rPr>
        <w:t>from paragraph 8(5)(b)</w:t>
      </w:r>
    </w:p>
    <w:p w14:paraId="3741A6AD" w14:textId="77777777" w:rsidR="002F070F" w:rsidRDefault="002F070F" w:rsidP="002F070F">
      <w:pPr>
        <w:tabs>
          <w:tab w:val="left" w:pos="851"/>
        </w:tabs>
        <w:rPr>
          <w:sz w:val="20"/>
          <w:szCs w:val="20"/>
        </w:rPr>
      </w:pPr>
    </w:p>
    <w:p w14:paraId="6CA40613" w14:textId="77777777" w:rsidR="002F070F" w:rsidRPr="00584AF3" w:rsidRDefault="002F070F" w:rsidP="002F070F">
      <w:pPr>
        <w:tabs>
          <w:tab w:val="left" w:pos="851"/>
        </w:tabs>
        <w:rPr>
          <w:sz w:val="20"/>
          <w:szCs w:val="20"/>
        </w:rPr>
      </w:pPr>
      <w:r w:rsidRPr="00584AF3">
        <w:rPr>
          <w:sz w:val="20"/>
          <w:szCs w:val="20"/>
          <w:lang w:bidi="ar-SA"/>
        </w:rPr>
        <w:t>[3.</w:t>
      </w:r>
      <w:r>
        <w:rPr>
          <w:sz w:val="20"/>
          <w:szCs w:val="20"/>
          <w:lang w:bidi="ar-SA"/>
        </w:rPr>
        <w:t>8</w:t>
      </w:r>
      <w:r w:rsidRPr="00584AF3">
        <w:rPr>
          <w:sz w:val="20"/>
          <w:szCs w:val="20"/>
          <w:lang w:bidi="ar-SA"/>
        </w:rPr>
        <w:t>]</w:t>
      </w:r>
      <w:r w:rsidRPr="00584AF3">
        <w:rPr>
          <w:sz w:val="20"/>
          <w:szCs w:val="20"/>
          <w:lang w:bidi="ar-SA"/>
        </w:rPr>
        <w:tab/>
        <w:t xml:space="preserve">omitting </w:t>
      </w:r>
      <w:r w:rsidRPr="00584AF3">
        <w:rPr>
          <w:sz w:val="20"/>
          <w:szCs w:val="20"/>
        </w:rPr>
        <w:t>“of unavailable carbohydrate” from subclause 8A(2)</w:t>
      </w:r>
      <w:r>
        <w:rPr>
          <w:sz w:val="20"/>
          <w:szCs w:val="20"/>
        </w:rPr>
        <w:t xml:space="preserve"> and</w:t>
      </w:r>
      <w:r w:rsidRPr="00584AF3">
        <w:rPr>
          <w:sz w:val="20"/>
          <w:szCs w:val="20"/>
        </w:rPr>
        <w:t xml:space="preserve"> substituting “of the average quantity of unavailable carbohydrate per serving of the food”</w:t>
      </w:r>
    </w:p>
    <w:p w14:paraId="6B89EED3" w14:textId="77777777" w:rsidR="002F070F" w:rsidRPr="00584AF3" w:rsidRDefault="002F070F" w:rsidP="002F070F">
      <w:pPr>
        <w:tabs>
          <w:tab w:val="left" w:pos="851"/>
        </w:tabs>
        <w:rPr>
          <w:sz w:val="20"/>
          <w:szCs w:val="20"/>
        </w:rPr>
      </w:pPr>
    </w:p>
    <w:p w14:paraId="259C1275" w14:textId="77777777" w:rsidR="002F070F" w:rsidRPr="00584AF3" w:rsidRDefault="002F070F" w:rsidP="002F070F">
      <w:pPr>
        <w:tabs>
          <w:tab w:val="left" w:pos="851"/>
        </w:tabs>
        <w:rPr>
          <w:sz w:val="20"/>
          <w:szCs w:val="20"/>
        </w:rPr>
      </w:pPr>
      <w:r w:rsidRPr="00584AF3">
        <w:rPr>
          <w:sz w:val="20"/>
          <w:szCs w:val="20"/>
          <w:lang w:bidi="ar-SA"/>
        </w:rPr>
        <w:t>[3.</w:t>
      </w:r>
      <w:r>
        <w:rPr>
          <w:sz w:val="20"/>
          <w:szCs w:val="20"/>
          <w:lang w:bidi="ar-SA"/>
        </w:rPr>
        <w:t>9</w:t>
      </w:r>
      <w:r w:rsidRPr="00584AF3">
        <w:rPr>
          <w:sz w:val="20"/>
          <w:szCs w:val="20"/>
          <w:lang w:bidi="ar-SA"/>
        </w:rPr>
        <w:t>]</w:t>
      </w:r>
      <w:r w:rsidRPr="00584AF3">
        <w:rPr>
          <w:sz w:val="20"/>
          <w:szCs w:val="20"/>
          <w:lang w:bidi="ar-SA"/>
        </w:rPr>
        <w:tab/>
        <w:t xml:space="preserve">omitting </w:t>
      </w:r>
      <w:r w:rsidRPr="00584AF3">
        <w:rPr>
          <w:sz w:val="20"/>
          <w:szCs w:val="20"/>
        </w:rPr>
        <w:t>“presence of relevant substances” from subclause 8A(4)</w:t>
      </w:r>
      <w:r>
        <w:rPr>
          <w:sz w:val="20"/>
          <w:szCs w:val="20"/>
        </w:rPr>
        <w:t xml:space="preserve"> and</w:t>
      </w:r>
      <w:r w:rsidRPr="00584AF3">
        <w:rPr>
          <w:sz w:val="20"/>
          <w:szCs w:val="20"/>
        </w:rPr>
        <w:t xml:space="preserve"> substituting “the average quantity of the substances per serving of the food”</w:t>
      </w:r>
    </w:p>
    <w:p w14:paraId="6F7CEB71" w14:textId="77777777" w:rsidR="002F070F" w:rsidRPr="000B6199" w:rsidRDefault="002F070F" w:rsidP="002F070F">
      <w:pPr>
        <w:tabs>
          <w:tab w:val="left" w:pos="851"/>
        </w:tabs>
        <w:rPr>
          <w:i/>
          <w:sz w:val="20"/>
          <w:szCs w:val="20"/>
          <w:lang w:bidi="ar-SA"/>
        </w:rPr>
      </w:pPr>
    </w:p>
    <w:p w14:paraId="26613F32" w14:textId="77777777" w:rsidR="002F070F" w:rsidRPr="00584AF3" w:rsidRDefault="002F070F" w:rsidP="002F070F">
      <w:pPr>
        <w:tabs>
          <w:tab w:val="left" w:pos="851"/>
        </w:tabs>
        <w:rPr>
          <w:iCs/>
          <w:sz w:val="20"/>
          <w:szCs w:val="20"/>
        </w:rPr>
      </w:pPr>
      <w:r w:rsidRPr="00584AF3">
        <w:rPr>
          <w:b/>
          <w:bCs/>
          <w:sz w:val="20"/>
          <w:szCs w:val="20"/>
        </w:rPr>
        <w:t>[4]</w:t>
      </w:r>
      <w:r w:rsidRPr="00584AF3">
        <w:rPr>
          <w:sz w:val="20"/>
          <w:szCs w:val="20"/>
        </w:rPr>
        <w:tab/>
      </w:r>
      <w:r w:rsidRPr="00584AF3">
        <w:rPr>
          <w:b/>
          <w:bCs/>
          <w:iCs/>
          <w:sz w:val="20"/>
          <w:szCs w:val="20"/>
        </w:rPr>
        <w:t>Standard 2.9.2</w:t>
      </w:r>
      <w:r w:rsidRPr="00584AF3">
        <w:rPr>
          <w:iCs/>
          <w:sz w:val="20"/>
          <w:szCs w:val="20"/>
        </w:rPr>
        <w:t xml:space="preserve"> is varied by omitting subclause 9(1)</w:t>
      </w:r>
      <w:r>
        <w:rPr>
          <w:iCs/>
          <w:sz w:val="20"/>
          <w:szCs w:val="20"/>
        </w:rPr>
        <w:t xml:space="preserve"> and</w:t>
      </w:r>
      <w:r w:rsidRPr="00584AF3">
        <w:rPr>
          <w:iCs/>
          <w:sz w:val="20"/>
          <w:szCs w:val="20"/>
        </w:rPr>
        <w:t xml:space="preserve"> substituting</w:t>
      </w:r>
      <w:r>
        <w:rPr>
          <w:iCs/>
          <w:sz w:val="20"/>
          <w:szCs w:val="20"/>
        </w:rPr>
        <w:t xml:space="preserve"> –</w:t>
      </w:r>
    </w:p>
    <w:p w14:paraId="7BC21F47" w14:textId="77777777" w:rsidR="002F070F" w:rsidRPr="00584AF3" w:rsidRDefault="002F070F" w:rsidP="002F070F">
      <w:pPr>
        <w:tabs>
          <w:tab w:val="left" w:pos="851"/>
        </w:tabs>
        <w:rPr>
          <w:sz w:val="20"/>
          <w:szCs w:val="20"/>
          <w:lang w:bidi="ar-SA"/>
        </w:rPr>
      </w:pPr>
      <w:r w:rsidRPr="00584AF3">
        <w:rPr>
          <w:sz w:val="20"/>
          <w:szCs w:val="20"/>
          <w:lang w:bidi="ar-SA"/>
        </w:rPr>
        <w:t xml:space="preserve"> </w:t>
      </w:r>
    </w:p>
    <w:p w14:paraId="6136D6E2" w14:textId="77777777" w:rsidR="002F070F" w:rsidRPr="00584AF3" w:rsidRDefault="002F070F" w:rsidP="002F070F">
      <w:pPr>
        <w:tabs>
          <w:tab w:val="left" w:pos="851"/>
        </w:tabs>
        <w:rPr>
          <w:sz w:val="20"/>
          <w:szCs w:val="20"/>
          <w:lang w:bidi="ar-SA"/>
        </w:rPr>
      </w:pPr>
      <w:r w:rsidRPr="00584AF3">
        <w:rPr>
          <w:sz w:val="20"/>
          <w:szCs w:val="20"/>
          <w:lang w:bidi="ar-SA"/>
        </w:rPr>
        <w:t>“(1)</w:t>
      </w:r>
      <w:r w:rsidRPr="00584AF3">
        <w:rPr>
          <w:sz w:val="20"/>
          <w:szCs w:val="20"/>
          <w:lang w:bidi="ar-SA"/>
        </w:rPr>
        <w:tab/>
        <w:t xml:space="preserve">The following provisions of Standard 1.2.8 do not apply to a food standardised by this Standard – </w:t>
      </w:r>
    </w:p>
    <w:p w14:paraId="0FDE921E" w14:textId="77777777" w:rsidR="002F070F" w:rsidRPr="00584AF3" w:rsidRDefault="002F070F" w:rsidP="002F070F">
      <w:pPr>
        <w:tabs>
          <w:tab w:val="left" w:pos="851"/>
        </w:tabs>
        <w:rPr>
          <w:szCs w:val="20"/>
          <w:lang w:bidi="ar-SA"/>
        </w:rPr>
      </w:pPr>
    </w:p>
    <w:p w14:paraId="68983F98" w14:textId="77777777" w:rsidR="002F070F" w:rsidRPr="00584AF3" w:rsidRDefault="002F070F" w:rsidP="002F070F">
      <w:pPr>
        <w:pStyle w:val="Paragraph"/>
        <w:rPr>
          <w:lang w:bidi="ar-SA"/>
        </w:rPr>
      </w:pPr>
      <w:r w:rsidRPr="00584AF3">
        <w:rPr>
          <w:lang w:bidi="ar-SA"/>
        </w:rPr>
        <w:t>(a)</w:t>
      </w:r>
      <w:r w:rsidRPr="00584AF3">
        <w:rPr>
          <w:lang w:bidi="ar-SA"/>
        </w:rPr>
        <w:tab/>
        <w:t>paragraph 3(j); and</w:t>
      </w:r>
    </w:p>
    <w:p w14:paraId="33CC9AFD" w14:textId="77777777" w:rsidR="002F070F" w:rsidRPr="00584AF3" w:rsidRDefault="002F070F" w:rsidP="002F070F">
      <w:pPr>
        <w:pStyle w:val="Paragraph"/>
        <w:rPr>
          <w:lang w:bidi="ar-SA"/>
        </w:rPr>
      </w:pPr>
      <w:r w:rsidRPr="00584AF3">
        <w:rPr>
          <w:lang w:bidi="ar-SA"/>
        </w:rPr>
        <w:t>(b)</w:t>
      </w:r>
      <w:r w:rsidRPr="00584AF3">
        <w:rPr>
          <w:lang w:bidi="ar-SA"/>
        </w:rPr>
        <w:tab/>
        <w:t>subclause 4(4); and</w:t>
      </w:r>
    </w:p>
    <w:p w14:paraId="4B629D8C" w14:textId="77777777" w:rsidR="002F070F" w:rsidRPr="00584AF3" w:rsidRDefault="002F070F" w:rsidP="002F070F">
      <w:pPr>
        <w:pStyle w:val="Paragraph"/>
        <w:rPr>
          <w:lang w:bidi="ar-SA"/>
        </w:rPr>
      </w:pPr>
      <w:r w:rsidRPr="00584AF3">
        <w:rPr>
          <w:lang w:bidi="ar-SA"/>
        </w:rPr>
        <w:t>(c)</w:t>
      </w:r>
      <w:r w:rsidRPr="00584AF3">
        <w:rPr>
          <w:lang w:bidi="ar-SA"/>
        </w:rPr>
        <w:tab/>
        <w:t>paragraph 5(1)(e) as it relates to saturated fat; and</w:t>
      </w:r>
    </w:p>
    <w:p w14:paraId="2142E232" w14:textId="77777777" w:rsidR="002F070F" w:rsidRPr="00584AF3" w:rsidRDefault="002F070F" w:rsidP="002F070F">
      <w:pPr>
        <w:pStyle w:val="Paragraph"/>
        <w:rPr>
          <w:lang w:bidi="ar-SA"/>
        </w:rPr>
      </w:pPr>
      <w:r w:rsidRPr="00584AF3">
        <w:rPr>
          <w:lang w:bidi="ar-SA"/>
        </w:rPr>
        <w:lastRenderedPageBreak/>
        <w:t>(d)</w:t>
      </w:r>
      <w:r w:rsidRPr="00584AF3">
        <w:rPr>
          <w:lang w:bidi="ar-SA"/>
        </w:rPr>
        <w:tab/>
        <w:t>subclauses 5(2), 5(4) and 5(5); and</w:t>
      </w:r>
    </w:p>
    <w:p w14:paraId="1DEC65F1" w14:textId="77777777" w:rsidR="002F070F" w:rsidRPr="00584AF3" w:rsidRDefault="002F070F" w:rsidP="002F070F">
      <w:pPr>
        <w:pStyle w:val="Paragraph"/>
        <w:rPr>
          <w:lang w:bidi="ar-SA"/>
        </w:rPr>
      </w:pPr>
      <w:r w:rsidRPr="00584AF3">
        <w:rPr>
          <w:lang w:bidi="ar-SA"/>
        </w:rPr>
        <w:t>(e)</w:t>
      </w:r>
      <w:r w:rsidRPr="00584AF3">
        <w:rPr>
          <w:lang w:bidi="ar-SA"/>
        </w:rPr>
        <w:tab/>
        <w:t>clause 7; and</w:t>
      </w:r>
    </w:p>
    <w:p w14:paraId="110F96DC" w14:textId="77777777" w:rsidR="002F070F" w:rsidRPr="00584AF3" w:rsidRDefault="002F070F" w:rsidP="002F070F">
      <w:pPr>
        <w:pStyle w:val="Paragraph"/>
        <w:rPr>
          <w:lang w:bidi="ar-SA"/>
        </w:rPr>
      </w:pPr>
      <w:r w:rsidRPr="00584AF3">
        <w:rPr>
          <w:lang w:bidi="ar-SA"/>
        </w:rPr>
        <w:t>(f)</w:t>
      </w:r>
      <w:r w:rsidRPr="00584AF3">
        <w:rPr>
          <w:lang w:bidi="ar-SA"/>
        </w:rPr>
        <w:tab/>
        <w:t>clause 8; and</w:t>
      </w:r>
    </w:p>
    <w:p w14:paraId="1E1B3444" w14:textId="77777777" w:rsidR="002F070F" w:rsidRPr="00584AF3" w:rsidRDefault="002F070F" w:rsidP="002F070F">
      <w:pPr>
        <w:pStyle w:val="Paragraph"/>
        <w:rPr>
          <w:lang w:bidi="ar-SA"/>
        </w:rPr>
      </w:pPr>
      <w:r w:rsidRPr="00584AF3">
        <w:rPr>
          <w:lang w:bidi="ar-SA"/>
        </w:rPr>
        <w:t>(g)</w:t>
      </w:r>
      <w:r w:rsidRPr="00584AF3">
        <w:rPr>
          <w:lang w:bidi="ar-SA"/>
        </w:rPr>
        <w:tab/>
        <w:t xml:space="preserve">clause 8A; and </w:t>
      </w:r>
    </w:p>
    <w:p w14:paraId="14B0CCFA" w14:textId="77777777" w:rsidR="002F070F" w:rsidRPr="00584AF3" w:rsidRDefault="002F070F" w:rsidP="002F070F">
      <w:pPr>
        <w:pStyle w:val="Paragraph"/>
        <w:rPr>
          <w:lang w:bidi="ar-SA"/>
        </w:rPr>
      </w:pPr>
      <w:r w:rsidRPr="00584AF3">
        <w:rPr>
          <w:lang w:bidi="ar-SA"/>
        </w:rPr>
        <w:t>(h)</w:t>
      </w:r>
      <w:r w:rsidRPr="00584AF3">
        <w:rPr>
          <w:lang w:bidi="ar-SA"/>
        </w:rPr>
        <w:tab/>
        <w:t>clause 9.”</w:t>
      </w:r>
    </w:p>
    <w:p w14:paraId="5DB4561B" w14:textId="77777777" w:rsidR="002F070F" w:rsidRDefault="002F070F" w:rsidP="002F070F"/>
    <w:p w14:paraId="6A5827FE" w14:textId="77777777" w:rsidR="002F070F" w:rsidRDefault="002F070F" w:rsidP="002F070F">
      <w:r>
        <w:br w:type="page"/>
      </w:r>
    </w:p>
    <w:p w14:paraId="5303217A" w14:textId="0C3F8863" w:rsidR="002F070F" w:rsidRDefault="002F070F" w:rsidP="005B06CC">
      <w:pPr>
        <w:pStyle w:val="FSCh2Part"/>
      </w:pPr>
      <w:bookmarkStart w:id="142" w:name="_Toc300933454"/>
      <w:bookmarkStart w:id="143" w:name="_Toc420053001"/>
      <w:bookmarkStart w:id="144" w:name="_Toc428369912"/>
      <w:bookmarkStart w:id="145" w:name="_Toc428861619"/>
      <w:r>
        <w:lastRenderedPageBreak/>
        <w:t>Explanatory Statement</w:t>
      </w:r>
      <w:bookmarkEnd w:id="142"/>
      <w:bookmarkEnd w:id="143"/>
      <w:bookmarkEnd w:id="144"/>
      <w:bookmarkEnd w:id="145"/>
    </w:p>
    <w:p w14:paraId="3A2815DE" w14:textId="77777777" w:rsidR="002F070F" w:rsidRPr="00584AF3" w:rsidRDefault="002F070F" w:rsidP="002F070F">
      <w:pPr>
        <w:rPr>
          <w:b/>
          <w:lang w:val="en-AU" w:eastAsia="en-GB" w:bidi="ar-SA"/>
        </w:rPr>
      </w:pPr>
      <w:r w:rsidRPr="00584AF3">
        <w:rPr>
          <w:b/>
          <w:lang w:val="en-AU" w:eastAsia="en-GB" w:bidi="ar-SA"/>
        </w:rPr>
        <w:t>1.</w:t>
      </w:r>
      <w:r w:rsidRPr="00584AF3">
        <w:rPr>
          <w:b/>
          <w:lang w:val="en-AU" w:eastAsia="en-GB" w:bidi="ar-SA"/>
        </w:rPr>
        <w:tab/>
        <w:t>Authority</w:t>
      </w:r>
    </w:p>
    <w:p w14:paraId="2EDBC99B" w14:textId="77777777" w:rsidR="002F070F" w:rsidRPr="00584AF3" w:rsidRDefault="002F070F" w:rsidP="002F070F">
      <w:pPr>
        <w:rPr>
          <w:lang w:val="en-AU" w:eastAsia="en-GB" w:bidi="ar-SA"/>
        </w:rPr>
      </w:pPr>
    </w:p>
    <w:p w14:paraId="40D1FEA0" w14:textId="77777777" w:rsidR="002F070F" w:rsidRPr="00584AF3" w:rsidRDefault="002F070F" w:rsidP="002F070F">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Section 13 of the </w:t>
      </w:r>
      <w:r w:rsidRPr="00584AF3">
        <w:rPr>
          <w:rFonts w:eastAsia="Calibri" w:cs="Arial"/>
          <w:bCs/>
          <w:i/>
          <w:szCs w:val="22"/>
          <w:lang w:val="en-AU" w:bidi="ar-SA"/>
        </w:rPr>
        <w:t>Food Standards Australia New Zealand Act 1991</w:t>
      </w:r>
      <w:r w:rsidRPr="00584AF3">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584AF3">
        <w:rPr>
          <w:rFonts w:eastAsia="Calibri" w:cs="Arial"/>
          <w:bCs/>
          <w:i/>
          <w:szCs w:val="22"/>
          <w:lang w:val="en-AU" w:bidi="ar-SA"/>
        </w:rPr>
        <w:t>Australia New Zealand Food Standards Code</w:t>
      </w:r>
      <w:r w:rsidRPr="00584AF3">
        <w:rPr>
          <w:rFonts w:eastAsia="Calibri" w:cs="Arial"/>
          <w:bCs/>
          <w:szCs w:val="22"/>
          <w:lang w:val="en-AU" w:bidi="ar-SA"/>
        </w:rPr>
        <w:t xml:space="preserve"> (the Code).</w:t>
      </w:r>
    </w:p>
    <w:p w14:paraId="53220642" w14:textId="77777777" w:rsidR="002F070F" w:rsidRPr="00584AF3" w:rsidRDefault="002F070F" w:rsidP="002F070F">
      <w:pPr>
        <w:widowControl/>
        <w:autoSpaceDE w:val="0"/>
        <w:autoSpaceDN w:val="0"/>
        <w:adjustRightInd w:val="0"/>
        <w:rPr>
          <w:rFonts w:eastAsia="Calibri" w:cs="Arial"/>
          <w:bCs/>
          <w:szCs w:val="22"/>
          <w:lang w:val="en-AU" w:bidi="ar-SA"/>
        </w:rPr>
      </w:pPr>
    </w:p>
    <w:p w14:paraId="5B56EC6A" w14:textId="77777777" w:rsidR="002F070F" w:rsidRPr="00584AF3" w:rsidRDefault="002F070F" w:rsidP="002F070F">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0B88190" w14:textId="77777777" w:rsidR="002F070F" w:rsidRPr="00584AF3" w:rsidRDefault="002F070F" w:rsidP="002F070F">
      <w:pPr>
        <w:widowControl/>
        <w:autoSpaceDE w:val="0"/>
        <w:autoSpaceDN w:val="0"/>
        <w:adjustRightInd w:val="0"/>
        <w:rPr>
          <w:rFonts w:eastAsia="Calibri" w:cs="Arial"/>
          <w:bCs/>
          <w:szCs w:val="22"/>
          <w:lang w:val="en-AU" w:bidi="ar-SA"/>
        </w:rPr>
      </w:pPr>
    </w:p>
    <w:p w14:paraId="314F5019" w14:textId="77777777" w:rsidR="002F070F" w:rsidRPr="00584AF3" w:rsidRDefault="002F070F" w:rsidP="002F070F">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FSANZ prepared Proposal P1037 to </w:t>
      </w:r>
      <w:r w:rsidRPr="00584AF3">
        <w:rPr>
          <w:szCs w:val="22"/>
        </w:rPr>
        <w:t xml:space="preserve">improve the clarity of provisions of Standard 1.2.7 – Nutrition, Health and Related Claims and related standards and to ensure that Standard 1.2.7 operates as intended. </w:t>
      </w:r>
      <w:r w:rsidRPr="00584AF3">
        <w:rPr>
          <w:rFonts w:eastAsia="Calibri" w:cs="Arial"/>
          <w:bCs/>
          <w:szCs w:val="22"/>
          <w:lang w:val="en-AU" w:bidi="ar-SA"/>
        </w:rPr>
        <w:t xml:space="preserve">Proposal P1037 </w:t>
      </w:r>
      <w:r w:rsidRPr="00584AF3">
        <w:rPr>
          <w:szCs w:val="22"/>
        </w:rPr>
        <w:t>was also prepared to exempt certain elements of the Health Star Rating (HSR) system from the Code’s requirements.</w:t>
      </w:r>
    </w:p>
    <w:p w14:paraId="4AC0A04E" w14:textId="77777777" w:rsidR="002F070F" w:rsidRPr="00584AF3" w:rsidRDefault="002F070F" w:rsidP="002F070F">
      <w:pPr>
        <w:widowControl/>
        <w:autoSpaceDE w:val="0"/>
        <w:autoSpaceDN w:val="0"/>
        <w:adjustRightInd w:val="0"/>
        <w:rPr>
          <w:rFonts w:eastAsia="Calibri" w:cs="Arial"/>
          <w:bCs/>
          <w:szCs w:val="22"/>
          <w:lang w:val="en-AU" w:bidi="ar-SA"/>
        </w:rPr>
      </w:pPr>
    </w:p>
    <w:p w14:paraId="5AD2A647" w14:textId="77777777" w:rsidR="002F070F" w:rsidRPr="00584AF3" w:rsidRDefault="002F070F" w:rsidP="002F070F">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The Authority considered the Proposal in accordance with Division 2 of Part 3 and has prepared a draft Standard. </w:t>
      </w:r>
    </w:p>
    <w:p w14:paraId="5E41D8BE" w14:textId="77777777" w:rsidR="002F070F" w:rsidRPr="00584AF3" w:rsidRDefault="002F070F" w:rsidP="002F070F">
      <w:pPr>
        <w:widowControl/>
        <w:autoSpaceDE w:val="0"/>
        <w:autoSpaceDN w:val="0"/>
        <w:adjustRightInd w:val="0"/>
        <w:rPr>
          <w:rFonts w:eastAsia="Calibri" w:cs="Arial"/>
          <w:bCs/>
          <w:szCs w:val="22"/>
          <w:lang w:val="en-AU" w:bidi="ar-SA"/>
        </w:rPr>
      </w:pPr>
    </w:p>
    <w:p w14:paraId="1F24E0E5" w14:textId="104B3F90" w:rsidR="002F070F" w:rsidRPr="00D13E34" w:rsidRDefault="002F070F" w:rsidP="008E0C6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143DBA">
        <w:rPr>
          <w:rFonts w:ascii="ZWAdobeF" w:hAnsi="ZWAdobeF" w:cs="ZWAdobeF"/>
          <w:sz w:val="2"/>
          <w:szCs w:val="2"/>
        </w:rPr>
        <w:t>10F</w:t>
      </w:r>
      <w:r w:rsidR="008E0C66">
        <w:rPr>
          <w:rFonts w:ascii="ZWAdobeF" w:hAnsi="ZWAdobeF" w:cs="ZWAdobeF"/>
          <w:sz w:val="2"/>
          <w:szCs w:val="2"/>
        </w:rPr>
        <w:t>10F</w:t>
      </w:r>
      <w:r>
        <w:rPr>
          <w:rStyle w:val="FootnoteReference"/>
          <w:rFonts w:cs="Arial"/>
        </w:rPr>
        <w:footnoteReference w:id="12"/>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4D46BEF" w14:textId="77777777" w:rsidR="002F070F" w:rsidRPr="00D13E34" w:rsidRDefault="002F070F" w:rsidP="002F070F">
      <w:pPr>
        <w:widowControl/>
        <w:autoSpaceDE w:val="0"/>
        <w:autoSpaceDN w:val="0"/>
        <w:adjustRightInd w:val="0"/>
        <w:rPr>
          <w:rFonts w:eastAsia="Calibri" w:cs="Arial"/>
          <w:bCs/>
          <w:szCs w:val="22"/>
          <w:lang w:val="en-AU" w:bidi="ar-SA"/>
        </w:rPr>
      </w:pPr>
    </w:p>
    <w:p w14:paraId="443D9940" w14:textId="77777777" w:rsidR="002F070F" w:rsidRPr="00D13E34" w:rsidRDefault="002F070F" w:rsidP="002F070F">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0A2CF589" w14:textId="77777777" w:rsidR="002F070F" w:rsidRDefault="002F070F" w:rsidP="002F070F">
      <w:pPr>
        <w:rPr>
          <w:lang w:val="en-AU" w:eastAsia="en-GB" w:bidi="ar-SA"/>
        </w:rPr>
      </w:pPr>
    </w:p>
    <w:p w14:paraId="79D42E9B" w14:textId="77777777" w:rsidR="002F070F" w:rsidRPr="00584AF3" w:rsidRDefault="002F070F" w:rsidP="002F070F">
      <w:pPr>
        <w:rPr>
          <w:b/>
          <w:lang w:val="en-AU" w:eastAsia="en-GB" w:bidi="ar-SA"/>
        </w:rPr>
      </w:pPr>
      <w:r w:rsidRPr="00584AF3">
        <w:rPr>
          <w:b/>
          <w:lang w:val="en-AU" w:eastAsia="en-GB" w:bidi="ar-SA"/>
        </w:rPr>
        <w:t>2.</w:t>
      </w:r>
      <w:r w:rsidRPr="00584AF3">
        <w:rPr>
          <w:b/>
          <w:lang w:val="en-AU" w:eastAsia="en-GB" w:bidi="ar-SA"/>
        </w:rPr>
        <w:tab/>
        <w:t>Purpose and operation</w:t>
      </w:r>
    </w:p>
    <w:p w14:paraId="5C0CE618" w14:textId="77777777" w:rsidR="002F070F" w:rsidRPr="00584AF3" w:rsidRDefault="002F070F" w:rsidP="002F070F">
      <w:pPr>
        <w:rPr>
          <w:lang w:val="en-AU" w:eastAsia="en-GB" w:bidi="ar-SA"/>
        </w:rPr>
      </w:pPr>
    </w:p>
    <w:p w14:paraId="75E4153C" w14:textId="77777777" w:rsidR="002F070F" w:rsidRPr="00584AF3" w:rsidRDefault="002F070F" w:rsidP="002F070F">
      <w:r w:rsidRPr="00584AF3">
        <w:rPr>
          <w:lang w:val="en-AU" w:eastAsia="en-GB" w:bidi="ar-SA"/>
        </w:rPr>
        <w:t xml:space="preserve">The Authority has prepared a draft variation to amend the Code </w:t>
      </w:r>
      <w:r w:rsidRPr="00584AF3">
        <w:t>to clarify the operation of Standard 1.2.7 and related standards and to exempt certain elements of the HSR system from the Code’s requirements for claims.</w:t>
      </w:r>
    </w:p>
    <w:p w14:paraId="4A0F9BED" w14:textId="77777777" w:rsidR="002F070F" w:rsidRPr="00584AF3" w:rsidRDefault="002F070F" w:rsidP="002F070F">
      <w:pPr>
        <w:rPr>
          <w:lang w:val="en-AU" w:eastAsia="en-GB" w:bidi="ar-SA"/>
        </w:rPr>
      </w:pPr>
    </w:p>
    <w:p w14:paraId="53DDB9F9" w14:textId="77777777" w:rsidR="002F070F" w:rsidRPr="00584AF3" w:rsidRDefault="002F070F" w:rsidP="002F070F">
      <w:pPr>
        <w:rPr>
          <w:b/>
          <w:lang w:val="en-AU" w:eastAsia="en-GB" w:bidi="ar-SA"/>
        </w:rPr>
      </w:pPr>
      <w:r w:rsidRPr="00584AF3">
        <w:rPr>
          <w:b/>
          <w:lang w:val="en-AU" w:eastAsia="en-GB" w:bidi="ar-SA"/>
        </w:rPr>
        <w:t>3.</w:t>
      </w:r>
      <w:r w:rsidRPr="00584AF3">
        <w:rPr>
          <w:b/>
          <w:lang w:val="en-AU" w:eastAsia="en-GB" w:bidi="ar-SA"/>
        </w:rPr>
        <w:tab/>
        <w:t>Documents incorporated by reference</w:t>
      </w:r>
    </w:p>
    <w:p w14:paraId="7C346E5A" w14:textId="77777777" w:rsidR="002F070F" w:rsidRPr="00584AF3" w:rsidRDefault="002F070F" w:rsidP="002F070F">
      <w:pPr>
        <w:rPr>
          <w:lang w:val="en-AU" w:eastAsia="en-GB" w:bidi="ar-SA"/>
        </w:rPr>
      </w:pPr>
    </w:p>
    <w:p w14:paraId="027A7E4A" w14:textId="77777777" w:rsidR="002F070F" w:rsidRPr="00584AF3" w:rsidRDefault="002F070F" w:rsidP="002F070F">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The variations to food regulatory measures do not incorporate any documents by reference.</w:t>
      </w:r>
    </w:p>
    <w:p w14:paraId="304B9FA5" w14:textId="77777777" w:rsidR="002F070F" w:rsidRPr="00584AF3" w:rsidRDefault="002F070F" w:rsidP="002F070F">
      <w:pPr>
        <w:rPr>
          <w:lang w:val="en-AU" w:eastAsia="en-GB" w:bidi="ar-SA"/>
        </w:rPr>
      </w:pPr>
    </w:p>
    <w:p w14:paraId="603850B6" w14:textId="77777777" w:rsidR="002F070F" w:rsidRPr="00584AF3" w:rsidRDefault="002F070F" w:rsidP="002F070F">
      <w:pPr>
        <w:rPr>
          <w:b/>
          <w:lang w:val="en-AU" w:eastAsia="en-GB" w:bidi="ar-SA"/>
        </w:rPr>
      </w:pPr>
      <w:r w:rsidRPr="00584AF3">
        <w:rPr>
          <w:b/>
          <w:lang w:val="en-AU" w:eastAsia="en-GB" w:bidi="ar-SA"/>
        </w:rPr>
        <w:t>4.</w:t>
      </w:r>
      <w:r w:rsidRPr="00584AF3">
        <w:rPr>
          <w:b/>
          <w:lang w:val="en-AU" w:eastAsia="en-GB" w:bidi="ar-SA"/>
        </w:rPr>
        <w:tab/>
        <w:t>Consultation</w:t>
      </w:r>
    </w:p>
    <w:p w14:paraId="6B7D49CE" w14:textId="77777777" w:rsidR="002F070F" w:rsidRPr="00584AF3" w:rsidRDefault="002F070F" w:rsidP="002F070F">
      <w:pPr>
        <w:rPr>
          <w:lang w:val="en-AU" w:eastAsia="en-GB" w:bidi="ar-SA"/>
        </w:rPr>
      </w:pPr>
    </w:p>
    <w:p w14:paraId="40854F0F" w14:textId="77777777" w:rsidR="002F070F" w:rsidRPr="00584AF3" w:rsidRDefault="002F070F" w:rsidP="002F070F">
      <w:pPr>
        <w:rPr>
          <w:szCs w:val="22"/>
        </w:rPr>
      </w:pPr>
      <w:r w:rsidRPr="00584AF3">
        <w:rPr>
          <w:szCs w:val="22"/>
        </w:rPr>
        <w:t xml:space="preserve">In accordance with the procedure in Division 2 of Part 3 of the FSANZ Act, </w:t>
      </w:r>
      <w:r w:rsidRPr="00584AF3">
        <w:rPr>
          <w:rFonts w:eastAsia="Calibri" w:cs="Arial"/>
          <w:bCs/>
          <w:szCs w:val="22"/>
          <w:lang w:val="en-AU" w:bidi="ar-SA"/>
        </w:rPr>
        <w:t>the Authority</w:t>
      </w:r>
      <w:r w:rsidRPr="00584AF3">
        <w:rPr>
          <w:szCs w:val="22"/>
        </w:rPr>
        <w:t>’s consideration of Proposal P1037 include</w:t>
      </w:r>
      <w:r>
        <w:rPr>
          <w:szCs w:val="22"/>
        </w:rPr>
        <w:t>d</w:t>
      </w:r>
      <w:r w:rsidRPr="00584AF3">
        <w:rPr>
          <w:szCs w:val="22"/>
        </w:rPr>
        <w:t xml:space="preserve"> one round of public consultation following an assessment and the preparation of a draft Standard and associated report. </w:t>
      </w:r>
    </w:p>
    <w:p w14:paraId="5536C997" w14:textId="77777777" w:rsidR="002F070F" w:rsidRPr="00584AF3" w:rsidRDefault="002F070F" w:rsidP="002F070F">
      <w:pPr>
        <w:rPr>
          <w:szCs w:val="22"/>
        </w:rPr>
      </w:pPr>
    </w:p>
    <w:p w14:paraId="31E08936" w14:textId="78DF69CF" w:rsidR="002F070F" w:rsidRPr="00584AF3" w:rsidRDefault="002F070F" w:rsidP="002F070F">
      <w:pPr>
        <w:rPr>
          <w:lang w:val="en-AU"/>
        </w:rPr>
      </w:pPr>
      <w:r w:rsidRPr="00584AF3">
        <w:rPr>
          <w:szCs w:val="22"/>
        </w:rPr>
        <w:t xml:space="preserve">A call for </w:t>
      </w:r>
      <w:r w:rsidR="000174F5">
        <w:rPr>
          <w:szCs w:val="22"/>
        </w:rPr>
        <w:t>s</w:t>
      </w:r>
      <w:r w:rsidR="000174F5" w:rsidRPr="00584AF3">
        <w:rPr>
          <w:szCs w:val="22"/>
        </w:rPr>
        <w:t>ubmissions</w:t>
      </w:r>
      <w:r w:rsidRPr="00584AF3">
        <w:rPr>
          <w:szCs w:val="22"/>
        </w:rPr>
        <w:t xml:space="preserve"> (which include</w:t>
      </w:r>
      <w:r w:rsidR="00D0646F">
        <w:rPr>
          <w:szCs w:val="22"/>
        </w:rPr>
        <w:t>d</w:t>
      </w:r>
      <w:r w:rsidRPr="00584AF3">
        <w:rPr>
          <w:szCs w:val="22"/>
        </w:rPr>
        <w:t xml:space="preserve"> the draft variation) </w:t>
      </w:r>
      <w:r>
        <w:rPr>
          <w:szCs w:val="22"/>
        </w:rPr>
        <w:t>was</w:t>
      </w:r>
      <w:r w:rsidRPr="00584AF3">
        <w:rPr>
          <w:szCs w:val="22"/>
        </w:rPr>
        <w:t xml:space="preserve"> released for a six-week consultation period. </w:t>
      </w:r>
    </w:p>
    <w:p w14:paraId="0DFCB0EA" w14:textId="77777777" w:rsidR="002F070F" w:rsidRPr="00584AF3" w:rsidRDefault="002F070F" w:rsidP="002F070F">
      <w:pPr>
        <w:rPr>
          <w:rFonts w:eastAsia="Calibri"/>
          <w:lang w:val="en-AU" w:bidi="ar-SA"/>
        </w:rPr>
      </w:pPr>
    </w:p>
    <w:p w14:paraId="321BC1BF" w14:textId="3425A7AC" w:rsidR="00F63C2C" w:rsidRDefault="002F070F" w:rsidP="002F070F">
      <w:pPr>
        <w:widowControl/>
        <w:autoSpaceDE w:val="0"/>
        <w:autoSpaceDN w:val="0"/>
        <w:adjustRightInd w:val="0"/>
      </w:pPr>
      <w:r w:rsidRPr="00584AF3">
        <w:rPr>
          <w:rFonts w:eastAsia="Calibri" w:cs="Arial"/>
          <w:bCs/>
          <w:szCs w:val="22"/>
          <w:lang w:val="en-AU" w:bidi="ar-SA"/>
        </w:rPr>
        <w:t xml:space="preserve">A Regulation Impact Statement was not required because the proposed variations </w:t>
      </w:r>
      <w:r w:rsidRPr="00584AF3">
        <w:t xml:space="preserve">are likely to have </w:t>
      </w:r>
      <w:r>
        <w:t xml:space="preserve">only </w:t>
      </w:r>
      <w:r w:rsidRPr="00584AF3">
        <w:t xml:space="preserve">a minor regulatory impact on business, community organisations or individuals. </w:t>
      </w:r>
      <w:r w:rsidR="00F63C2C">
        <w:br w:type="page"/>
      </w:r>
    </w:p>
    <w:p w14:paraId="750804E1" w14:textId="77777777" w:rsidR="002F070F" w:rsidRPr="00584AF3" w:rsidRDefault="002F070F" w:rsidP="002F070F">
      <w:pPr>
        <w:widowControl/>
        <w:rPr>
          <w:rFonts w:eastAsia="Calibri" w:cs="Arial"/>
          <w:b/>
          <w:bCs/>
          <w:szCs w:val="22"/>
          <w:lang w:val="en-AU" w:bidi="ar-SA"/>
        </w:rPr>
      </w:pPr>
      <w:r w:rsidRPr="00584AF3">
        <w:rPr>
          <w:rFonts w:eastAsia="Calibri" w:cs="Arial"/>
          <w:b/>
          <w:bCs/>
          <w:szCs w:val="22"/>
          <w:lang w:val="en-AU" w:bidi="ar-SA"/>
        </w:rPr>
        <w:lastRenderedPageBreak/>
        <w:t>5.</w:t>
      </w:r>
      <w:r w:rsidRPr="00584AF3">
        <w:rPr>
          <w:rFonts w:eastAsia="Calibri" w:cs="Arial"/>
          <w:b/>
          <w:bCs/>
          <w:szCs w:val="22"/>
          <w:lang w:val="en-AU" w:bidi="ar-SA"/>
        </w:rPr>
        <w:tab/>
        <w:t>Statement of compatibility with human rights</w:t>
      </w:r>
    </w:p>
    <w:p w14:paraId="4FB015E9" w14:textId="77777777" w:rsidR="002F070F" w:rsidRPr="00584AF3" w:rsidRDefault="002F070F" w:rsidP="002F070F">
      <w:pPr>
        <w:rPr>
          <w:rFonts w:eastAsia="Calibri"/>
          <w:lang w:val="en-AU" w:bidi="ar-SA"/>
        </w:rPr>
      </w:pPr>
    </w:p>
    <w:p w14:paraId="31457452" w14:textId="77777777" w:rsidR="002F070F" w:rsidRPr="00584AF3" w:rsidRDefault="002F070F" w:rsidP="002F070F">
      <w:pPr>
        <w:rPr>
          <w:rFonts w:eastAsia="Calibri"/>
          <w:lang w:val="en-AU" w:bidi="ar-SA"/>
        </w:rPr>
      </w:pPr>
      <w:r w:rsidRPr="00584AF3">
        <w:rPr>
          <w:rFonts w:eastAsia="Calibri"/>
          <w:lang w:val="en-AU" w:bidi="ar-SA"/>
        </w:rPr>
        <w:t>This instrument is exempt from the requirements for a statement of compatibility with human rights as it is a non-disallowable instrument under section 97 of the FSANZ Act.</w:t>
      </w:r>
    </w:p>
    <w:p w14:paraId="508C3E1D" w14:textId="77777777" w:rsidR="002F070F" w:rsidRPr="00584AF3" w:rsidRDefault="002F070F" w:rsidP="002F070F">
      <w:pPr>
        <w:rPr>
          <w:rFonts w:eastAsia="Calibri"/>
          <w:lang w:val="en-AU" w:bidi="ar-SA"/>
        </w:rPr>
      </w:pPr>
    </w:p>
    <w:p w14:paraId="2F37AD96" w14:textId="77777777" w:rsidR="002F070F" w:rsidRPr="00584AF3" w:rsidRDefault="002F070F" w:rsidP="002F070F">
      <w:pPr>
        <w:rPr>
          <w:b/>
        </w:rPr>
      </w:pPr>
      <w:r w:rsidRPr="00584AF3">
        <w:rPr>
          <w:b/>
        </w:rPr>
        <w:t>6.</w:t>
      </w:r>
      <w:r w:rsidRPr="00584AF3">
        <w:rPr>
          <w:b/>
        </w:rPr>
        <w:tab/>
        <w:t xml:space="preserve">Variations </w:t>
      </w:r>
    </w:p>
    <w:p w14:paraId="060B1F2C" w14:textId="77777777" w:rsidR="002F070F" w:rsidRPr="00584AF3" w:rsidRDefault="002F070F" w:rsidP="002F070F">
      <w:pPr>
        <w:rPr>
          <w:b/>
        </w:rPr>
      </w:pPr>
    </w:p>
    <w:p w14:paraId="73B79FFE" w14:textId="77777777" w:rsidR="002F070F" w:rsidRPr="00584AF3" w:rsidRDefault="002F070F" w:rsidP="002F070F">
      <w:r w:rsidRPr="00584AF3">
        <w:t>Item [1] of the Schedule varies Standard 1.1.1.</w:t>
      </w:r>
    </w:p>
    <w:p w14:paraId="6681B846" w14:textId="77777777" w:rsidR="002F070F" w:rsidRPr="00584AF3" w:rsidRDefault="002F070F" w:rsidP="002F070F"/>
    <w:p w14:paraId="19874FF1" w14:textId="77777777" w:rsidR="002F070F" w:rsidRDefault="002F070F" w:rsidP="002F070F">
      <w:r w:rsidRPr="00584AF3">
        <w:t xml:space="preserve">Item [1.1] </w:t>
      </w:r>
      <w:r>
        <w:t xml:space="preserve">inserts new clause 1A into </w:t>
      </w:r>
      <w:r w:rsidRPr="00584AF3">
        <w:t>Standard 1.1.1</w:t>
      </w:r>
      <w:r>
        <w:t xml:space="preserve">. </w:t>
      </w:r>
    </w:p>
    <w:p w14:paraId="77128359" w14:textId="77777777" w:rsidR="002F070F" w:rsidRDefault="002F070F" w:rsidP="002F070F"/>
    <w:p w14:paraId="1C45F362" w14:textId="33249863" w:rsidR="002F070F" w:rsidRDefault="002F070F" w:rsidP="002F070F">
      <w:r>
        <w:t xml:space="preserve">The new clause </w:t>
      </w:r>
      <w:r w:rsidRPr="00584AF3">
        <w:t>provide</w:t>
      </w:r>
      <w:r>
        <w:t>s</w:t>
      </w:r>
      <w:r w:rsidRPr="00584AF3">
        <w:t xml:space="preserve"> a transition period </w:t>
      </w:r>
      <w:r>
        <w:t xml:space="preserve">and a </w:t>
      </w:r>
      <w:r w:rsidR="00F150B5">
        <w:t xml:space="preserve">stock-in-trade </w:t>
      </w:r>
      <w:r>
        <w:t>exemption for</w:t>
      </w:r>
      <w:r w:rsidRPr="00584AF3">
        <w:t xml:space="preserve"> </w:t>
      </w:r>
      <w:r>
        <w:t>prescribed</w:t>
      </w:r>
      <w:r w:rsidRPr="00584AF3">
        <w:t xml:space="preserve"> variations made by the instrument. </w:t>
      </w:r>
      <w:r>
        <w:t>The prescribed variations are all the variations made by Schedule with the exception of the variations made by items 1.2, 2.3 and 3.1.</w:t>
      </w:r>
    </w:p>
    <w:p w14:paraId="4296A86E" w14:textId="77777777" w:rsidR="002F070F" w:rsidRDefault="002F070F" w:rsidP="002F070F"/>
    <w:p w14:paraId="28C855C9" w14:textId="7CBD5232" w:rsidR="002F070F" w:rsidRPr="00584AF3" w:rsidRDefault="002F070F" w:rsidP="002F070F">
      <w:r>
        <w:t>During the transition period,</w:t>
      </w:r>
      <w:r w:rsidRPr="00584AF3">
        <w:t xml:space="preserve"> food </w:t>
      </w:r>
      <w:r>
        <w:t>can</w:t>
      </w:r>
      <w:r w:rsidRPr="00584AF3">
        <w:t xml:space="preserve"> comply with </w:t>
      </w:r>
      <w:r>
        <w:t>either the Code as in force as if the prescribed</w:t>
      </w:r>
      <w:r w:rsidRPr="00584AF3">
        <w:t xml:space="preserve"> variations </w:t>
      </w:r>
      <w:r>
        <w:t>had not taken effect or with the Code as amended by those variations, but not both.</w:t>
      </w:r>
      <w:r w:rsidRPr="00584AF3">
        <w:t xml:space="preserve"> The transition period is from </w:t>
      </w:r>
      <w:r>
        <w:t>the date that the instrument commences to 18 January 2017</w:t>
      </w:r>
      <w:r w:rsidRPr="00584AF3">
        <w:t xml:space="preserve">. This period aligns with the </w:t>
      </w:r>
      <w:r>
        <w:t xml:space="preserve">end of the </w:t>
      </w:r>
      <w:r w:rsidRPr="00584AF3">
        <w:t xml:space="preserve">current transition period for Standard 1.2.7. </w:t>
      </w:r>
      <w:r>
        <w:br/>
      </w:r>
      <w:r>
        <w:br/>
        <w:t xml:space="preserve">The exemption for </w:t>
      </w:r>
      <w:r w:rsidR="00F150B5">
        <w:t xml:space="preserve">stock-in-trade </w:t>
      </w:r>
      <w:r>
        <w:t xml:space="preserve">will operate from 18 January 2017 for a period of 12 months. In this period, food that does not comply with the Code as amended by the prescribed variations will be deemed to be compliant with the Code if that food otherwise complied with the Code before 18 January 2017.  </w:t>
      </w:r>
    </w:p>
    <w:p w14:paraId="288FC0FC" w14:textId="77777777" w:rsidR="002F070F" w:rsidRPr="00584AF3" w:rsidRDefault="002F070F" w:rsidP="002F070F"/>
    <w:p w14:paraId="2DEB4988" w14:textId="77777777" w:rsidR="002F070F" w:rsidRPr="0007297C" w:rsidRDefault="002F070F" w:rsidP="002F070F">
      <w:r w:rsidRPr="0007297C">
        <w:t>Item [1.2] inserts new clause 2A into Standard 1.1.1 to provide a definition of the term ‘Permitted Health Star Rating symbol’. Subclause 2A(1) provides that a Permitted Health Star Rating symbol means an image subject to</w:t>
      </w:r>
      <w:r>
        <w:t xml:space="preserve"> an</w:t>
      </w:r>
      <w:r w:rsidRPr="0007297C">
        <w:t xml:space="preserve"> Australian Trade Marks numbered 1641445, 1641446 or 1641447</w:t>
      </w:r>
      <w:r>
        <w:t xml:space="preserve"> or a </w:t>
      </w:r>
      <w:r w:rsidRPr="000B5DF9">
        <w:rPr>
          <w:szCs w:val="22"/>
        </w:rPr>
        <w:t xml:space="preserve">New Zealand Trade Mark numbered </w:t>
      </w:r>
      <w:r w:rsidRPr="007C1771">
        <w:rPr>
          <w:szCs w:val="22"/>
        </w:rPr>
        <w:t>1018807, 1018808 or 1018809</w:t>
      </w:r>
      <w:r w:rsidRPr="0007297C">
        <w:t>. Subclause 2A(2) recognises the fact that the Health Star Rating system and the relevant trademarks provide for the trademarked images to be used to indicate varying levels of energy or nutrient content. The subclause makes clear that any such variations do not affect an image’s status as a Permitted Health Star Rating symbol for the purposes of the Code.</w:t>
      </w:r>
    </w:p>
    <w:p w14:paraId="3670B2E9" w14:textId="77777777" w:rsidR="002F070F" w:rsidRPr="0007297C" w:rsidRDefault="002F070F" w:rsidP="002F070F"/>
    <w:p w14:paraId="1C8C5995" w14:textId="77777777" w:rsidR="002F070F" w:rsidRPr="0007297C" w:rsidRDefault="002F070F" w:rsidP="002F070F">
      <w:r w:rsidRPr="0007297C">
        <w:t>Item [1.3] updates the Table of Provisions to refer to new clause</w:t>
      </w:r>
      <w:r>
        <w:t>s 1A and</w:t>
      </w:r>
      <w:r w:rsidRPr="0007297C">
        <w:t xml:space="preserve"> 2A. </w:t>
      </w:r>
    </w:p>
    <w:p w14:paraId="4F5560CD" w14:textId="77777777" w:rsidR="002F070F" w:rsidRPr="00584AF3" w:rsidRDefault="002F070F" w:rsidP="002F070F"/>
    <w:p w14:paraId="196F70BE" w14:textId="77777777" w:rsidR="002F070F" w:rsidRPr="00584AF3" w:rsidRDefault="002F070F" w:rsidP="002F070F">
      <w:r w:rsidRPr="00584AF3">
        <w:t>Item [2] of the Schedule varies Standard 1.2.7.</w:t>
      </w:r>
    </w:p>
    <w:p w14:paraId="6344DB73" w14:textId="77777777" w:rsidR="002F070F" w:rsidRPr="00584AF3" w:rsidRDefault="002F070F" w:rsidP="002F070F"/>
    <w:p w14:paraId="63A3ADFB" w14:textId="77777777" w:rsidR="002F070F" w:rsidRDefault="002F070F" w:rsidP="002F070F">
      <w:r w:rsidRPr="00584AF3">
        <w:t xml:space="preserve">Item [2.1] </w:t>
      </w:r>
      <w:r>
        <w:t xml:space="preserve">inserts an Editorial Note after clause 1. The Editorial Note draws attention to the fact that Standard 1.2.8 may impose additional labelling requirements for claims regulated by Standard 1.2.7. </w:t>
      </w:r>
    </w:p>
    <w:p w14:paraId="195662E8" w14:textId="77777777" w:rsidR="002F070F" w:rsidRDefault="002F070F" w:rsidP="002F070F"/>
    <w:p w14:paraId="221D2743" w14:textId="77777777" w:rsidR="002F070F" w:rsidRPr="0007297C" w:rsidRDefault="002F070F" w:rsidP="002F070F">
      <w:r>
        <w:t xml:space="preserve">Item [2.2] </w:t>
      </w:r>
      <w:r w:rsidRPr="00584AF3">
        <w:t xml:space="preserve">varies clause 5 of Standard 1.2.7 to provide that that Standard does not apply to </w:t>
      </w:r>
      <w:r w:rsidRPr="0007297C">
        <w:t>a Permitted Health Star Rating symbol.</w:t>
      </w:r>
    </w:p>
    <w:p w14:paraId="53780C08" w14:textId="77777777" w:rsidR="002F070F" w:rsidRPr="0007297C" w:rsidRDefault="002F070F" w:rsidP="002F070F"/>
    <w:p w14:paraId="3F726ED1" w14:textId="77777777" w:rsidR="002F070F" w:rsidRPr="0007297C" w:rsidRDefault="002F070F" w:rsidP="002F070F">
      <w:r w:rsidRPr="0007297C">
        <w:t>Item [2.</w:t>
      </w:r>
      <w:r>
        <w:t>3</w:t>
      </w:r>
      <w:r w:rsidRPr="0007297C">
        <w:t xml:space="preserve">] corrects a typographical error in paragraph 18(1)(b). It replaces </w:t>
      </w:r>
      <w:r w:rsidRPr="00584AF3">
        <w:t>‘subparagraph’</w:t>
      </w:r>
      <w:r w:rsidRPr="0007297C">
        <w:t xml:space="preserve"> with ‘paragraph’.</w:t>
      </w:r>
    </w:p>
    <w:p w14:paraId="24120E96" w14:textId="77777777" w:rsidR="002F070F" w:rsidRPr="0007297C" w:rsidRDefault="002F070F" w:rsidP="002F070F"/>
    <w:p w14:paraId="63C64EFB" w14:textId="77777777" w:rsidR="002F070F" w:rsidRPr="0007297C" w:rsidRDefault="002F070F" w:rsidP="002F070F">
      <w:r w:rsidRPr="0007297C">
        <w:t>Item [2.</w:t>
      </w:r>
      <w:r>
        <w:t>4</w:t>
      </w:r>
      <w:r w:rsidRPr="0007297C">
        <w:t xml:space="preserve">] </w:t>
      </w:r>
      <w:r>
        <w:t>amends</w:t>
      </w:r>
      <w:r w:rsidRPr="0007297C">
        <w:t xml:space="preserve"> the entry for ‘Lactose’ in Schedule 1 to remove the condition that the nutrition information panel indicate the lactose and galactose content.</w:t>
      </w:r>
    </w:p>
    <w:p w14:paraId="49D0DFC1" w14:textId="77777777" w:rsidR="002F070F" w:rsidRPr="0007297C" w:rsidRDefault="002F070F" w:rsidP="002F070F"/>
    <w:p w14:paraId="6D24D085" w14:textId="19DF8E22" w:rsidR="00F63C2C" w:rsidRDefault="002F070F" w:rsidP="002F070F">
      <w:r w:rsidRPr="0007297C">
        <w:t>Item [2.</w:t>
      </w:r>
      <w:r>
        <w:t>5</w:t>
      </w:r>
      <w:r w:rsidRPr="0007297C">
        <w:t xml:space="preserve">] </w:t>
      </w:r>
      <w:r>
        <w:t>amends</w:t>
      </w:r>
      <w:r w:rsidRPr="0007297C">
        <w:t xml:space="preserve"> the entry for ‘</w:t>
      </w:r>
      <w:r>
        <w:t>S</w:t>
      </w:r>
      <w:r w:rsidRPr="0007297C">
        <w:t>alt or sodium’ in Schedule 1 to remove the condition that the nutrition information panel indicate the potassium content.</w:t>
      </w:r>
      <w:r w:rsidR="00F63C2C">
        <w:br w:type="page"/>
      </w:r>
    </w:p>
    <w:p w14:paraId="63E63F7B" w14:textId="77777777" w:rsidR="002F070F" w:rsidRPr="0007297C" w:rsidRDefault="002F070F" w:rsidP="002F070F">
      <w:r w:rsidRPr="0007297C">
        <w:lastRenderedPageBreak/>
        <w:t>Item [2.</w:t>
      </w:r>
      <w:r>
        <w:t>6</w:t>
      </w:r>
      <w:r w:rsidRPr="0007297C">
        <w:t>] replaces the entry for ‘Omega-3 fatty acids’ in Schedule 1 to remove the condition that the nutrition information panel indicate the type and amount of o</w:t>
      </w:r>
      <w:r>
        <w:t>m</w:t>
      </w:r>
      <w:r w:rsidRPr="0007297C">
        <w:t>ega-3 fatty acids.</w:t>
      </w:r>
    </w:p>
    <w:p w14:paraId="131E4CB8" w14:textId="77777777" w:rsidR="002F070F" w:rsidRPr="0007297C" w:rsidRDefault="002F070F" w:rsidP="002F070F"/>
    <w:p w14:paraId="0C71EC10" w14:textId="19F2E8E4" w:rsidR="002F070F" w:rsidRPr="0007297C" w:rsidRDefault="002F070F" w:rsidP="002F070F">
      <w:r w:rsidRPr="0007297C">
        <w:t>Item [2.</w:t>
      </w:r>
      <w:r>
        <w:t>7</w:t>
      </w:r>
      <w:r w:rsidRPr="0007297C">
        <w:t xml:space="preserve">] varies subitems 2(1) and 3(1) </w:t>
      </w:r>
      <w:r w:rsidR="004D3026">
        <w:t>in</w:t>
      </w:r>
      <w:r w:rsidRPr="0007297C">
        <w:t xml:space="preserve"> Schedule 5. It replaces references to ‘the content of energy and each nutrient’ with ‘the average energy content and the average quantity of each nutrient’ listed in Table 1.</w:t>
      </w:r>
    </w:p>
    <w:p w14:paraId="0979E4A7" w14:textId="77777777" w:rsidR="002F070F" w:rsidRPr="0007297C" w:rsidRDefault="002F070F" w:rsidP="002F070F"/>
    <w:p w14:paraId="24458F0B" w14:textId="26E8144F" w:rsidR="002F070F" w:rsidRPr="0007297C" w:rsidRDefault="002F070F" w:rsidP="002F070F">
      <w:r w:rsidRPr="0007297C">
        <w:t>Item [2.</w:t>
      </w:r>
      <w:r>
        <w:t>8</w:t>
      </w:r>
      <w:r w:rsidRPr="0007297C">
        <w:t xml:space="preserve">] removes the word ‘sources’ from paragraph 4(6)(c) </w:t>
      </w:r>
      <w:r w:rsidR="004D3026">
        <w:t>in Schedule</w:t>
      </w:r>
      <w:r w:rsidRPr="0007297C">
        <w:t xml:space="preserve"> 5.</w:t>
      </w:r>
    </w:p>
    <w:p w14:paraId="1B8D7190" w14:textId="77777777" w:rsidR="002F070F" w:rsidRPr="0007297C" w:rsidRDefault="002F070F" w:rsidP="002F070F"/>
    <w:p w14:paraId="1C4A6F9D" w14:textId="66B7830B" w:rsidR="002F070F" w:rsidRPr="0007297C" w:rsidRDefault="002F070F" w:rsidP="002F070F">
      <w:r w:rsidRPr="0007297C">
        <w:t>Item [2.</w:t>
      </w:r>
      <w:r>
        <w:t>9</w:t>
      </w:r>
      <w:r w:rsidRPr="0007297C">
        <w:t xml:space="preserve">] removes the word ‘sources’ from subitem 4(8) </w:t>
      </w:r>
      <w:r w:rsidR="004D3026">
        <w:t>in Schedule</w:t>
      </w:r>
      <w:r w:rsidRPr="0007297C">
        <w:t xml:space="preserve"> 5.</w:t>
      </w:r>
    </w:p>
    <w:p w14:paraId="6EA8ACC1" w14:textId="77777777" w:rsidR="002F070F" w:rsidRPr="0007297C" w:rsidRDefault="002F070F" w:rsidP="002F070F"/>
    <w:p w14:paraId="57F85655" w14:textId="78119F24" w:rsidR="002F070F" w:rsidRPr="0007297C" w:rsidRDefault="002F070F" w:rsidP="002F070F">
      <w:r w:rsidRPr="0007297C">
        <w:t>Item [2.</w:t>
      </w:r>
      <w:r>
        <w:t>10</w:t>
      </w:r>
      <w:r w:rsidRPr="0007297C">
        <w:t xml:space="preserve">] removes the word ‘total from Tables 1 and 2 </w:t>
      </w:r>
      <w:r w:rsidR="004D3026">
        <w:t>in Schedule</w:t>
      </w:r>
      <w:r w:rsidRPr="0007297C">
        <w:t xml:space="preserve"> 5.</w:t>
      </w:r>
    </w:p>
    <w:p w14:paraId="6D14DC35" w14:textId="77777777" w:rsidR="002F070F" w:rsidRPr="0007297C" w:rsidRDefault="002F070F" w:rsidP="002F070F"/>
    <w:p w14:paraId="5450DB95" w14:textId="3C80B69B" w:rsidR="002F070F" w:rsidRPr="0007297C" w:rsidRDefault="002F070F" w:rsidP="002F070F">
      <w:r w:rsidRPr="0007297C">
        <w:t>Item [2.1</w:t>
      </w:r>
      <w:r>
        <w:t>1</w:t>
      </w:r>
      <w:r w:rsidRPr="0007297C">
        <w:t xml:space="preserve">] varies Tables 1 and 2 </w:t>
      </w:r>
      <w:r w:rsidR="004D3026">
        <w:t>in Schedule</w:t>
      </w:r>
      <w:r w:rsidRPr="0007297C">
        <w:t xml:space="preserve"> 5. It replaces ‘Average saturated fatty acids’ with ‘Average quantity of saturated fatty acids’. </w:t>
      </w:r>
    </w:p>
    <w:p w14:paraId="3D04C669" w14:textId="77777777" w:rsidR="002F070F" w:rsidRPr="0007297C" w:rsidRDefault="002F070F" w:rsidP="002F070F"/>
    <w:p w14:paraId="7B3C7778" w14:textId="2081F0C9" w:rsidR="002F070F" w:rsidRPr="0007297C" w:rsidRDefault="002F070F" w:rsidP="002F070F">
      <w:r w:rsidRPr="0007297C">
        <w:t>Item [2.1</w:t>
      </w:r>
      <w:r>
        <w:t>2</w:t>
      </w:r>
      <w:r w:rsidRPr="0007297C">
        <w:t xml:space="preserve">] varies Tables 1 and 2 </w:t>
      </w:r>
      <w:r w:rsidR="004D3026">
        <w:t>in Schedule</w:t>
      </w:r>
      <w:r w:rsidRPr="0007297C">
        <w:t xml:space="preserve"> 5. It replaces ‘Average sodium’ with ‘Average quantity of sodium’.</w:t>
      </w:r>
    </w:p>
    <w:p w14:paraId="59C021D1" w14:textId="77777777" w:rsidR="002F070F" w:rsidRPr="0007297C" w:rsidRDefault="002F070F" w:rsidP="002F070F"/>
    <w:p w14:paraId="3ADE2611" w14:textId="5ADE5EFC" w:rsidR="002F070F" w:rsidRPr="0007297C" w:rsidRDefault="002F070F" w:rsidP="002F070F">
      <w:r w:rsidRPr="0007297C">
        <w:t>Item [2.1</w:t>
      </w:r>
      <w:r>
        <w:t>3</w:t>
      </w:r>
      <w:r w:rsidRPr="0007297C">
        <w:t xml:space="preserve">] varies subitem 5(1) </w:t>
      </w:r>
      <w:r w:rsidR="004D3026">
        <w:t>in Schedule</w:t>
      </w:r>
      <w:r w:rsidRPr="0007297C">
        <w:t xml:space="preserve"> 5 to replace ‘the amount of protein’ with ‘the average quantity of protein’. </w:t>
      </w:r>
    </w:p>
    <w:p w14:paraId="77673D87" w14:textId="77777777" w:rsidR="002F070F" w:rsidRPr="0007297C" w:rsidRDefault="002F070F" w:rsidP="002F070F"/>
    <w:p w14:paraId="4EB05EB3" w14:textId="29C6F0BA" w:rsidR="002F070F" w:rsidRPr="0007297C" w:rsidRDefault="002F070F" w:rsidP="002F070F">
      <w:r w:rsidRPr="0007297C">
        <w:t>Item [2.1</w:t>
      </w:r>
      <w:r>
        <w:t>4</w:t>
      </w:r>
      <w:r w:rsidRPr="0007297C">
        <w:t xml:space="preserve">] varies subitem 6(1) </w:t>
      </w:r>
      <w:r w:rsidR="004D3026">
        <w:t>in Schedule</w:t>
      </w:r>
      <w:r w:rsidRPr="0007297C">
        <w:t xml:space="preserve"> 5 to replace ‘the amount of protein’ with ‘the average quantity of protein’. </w:t>
      </w:r>
    </w:p>
    <w:p w14:paraId="5F2DE034" w14:textId="77777777" w:rsidR="002F070F" w:rsidRPr="0007297C" w:rsidRDefault="002F070F" w:rsidP="002F070F"/>
    <w:p w14:paraId="7DFF094C" w14:textId="77777777" w:rsidR="002F070F" w:rsidRPr="0007297C" w:rsidRDefault="002F070F" w:rsidP="002F070F">
      <w:r w:rsidRPr="0007297C">
        <w:t>Item [3] varies Standard 1.2.8.</w:t>
      </w:r>
    </w:p>
    <w:p w14:paraId="3C14A3B8" w14:textId="77777777" w:rsidR="002F070F" w:rsidRPr="0007297C" w:rsidRDefault="002F070F" w:rsidP="002F070F"/>
    <w:p w14:paraId="7ED98E1A" w14:textId="77777777" w:rsidR="002F070F" w:rsidRPr="0007297C" w:rsidRDefault="002F070F" w:rsidP="002F070F">
      <w:r w:rsidRPr="0007297C">
        <w:t xml:space="preserve">Item [3.1] varies subclause 4(1) of Standard 1.2.8 </w:t>
      </w:r>
      <w:r w:rsidRPr="00584AF3">
        <w:t xml:space="preserve">to provide that a claim requiring nutrition information does not include </w:t>
      </w:r>
      <w:r w:rsidRPr="0007297C">
        <w:t xml:space="preserve">a Permitted Health Star Rating symbol. </w:t>
      </w:r>
    </w:p>
    <w:p w14:paraId="7B2D677D" w14:textId="77777777" w:rsidR="002F070F" w:rsidRPr="0007297C" w:rsidRDefault="002F070F" w:rsidP="002F070F"/>
    <w:p w14:paraId="17E823C5" w14:textId="77777777" w:rsidR="002F070F" w:rsidRPr="0007297C" w:rsidRDefault="002F070F" w:rsidP="002F070F">
      <w:r w:rsidRPr="0007297C">
        <w:t>Item [3.2] varies subclause 4(4). It replaces ‘clause 8’ with ‘clauses 8 and 8A’.</w:t>
      </w:r>
    </w:p>
    <w:p w14:paraId="3FB0EBB2" w14:textId="77777777" w:rsidR="002F070F" w:rsidRPr="0007297C" w:rsidRDefault="002F070F" w:rsidP="002F070F"/>
    <w:p w14:paraId="014EEF2C" w14:textId="77777777" w:rsidR="002F070F" w:rsidRPr="0007297C" w:rsidRDefault="002F070F" w:rsidP="002F070F">
      <w:r w:rsidRPr="0007297C">
        <w:t>Item [3.3] varies paragraph 5(1)(e). It replaces ‘saturated fat’ with ‘saturated fatty acids’.</w:t>
      </w:r>
    </w:p>
    <w:p w14:paraId="4C3A26DA" w14:textId="77777777" w:rsidR="002F070F" w:rsidRPr="0007297C" w:rsidRDefault="002F070F" w:rsidP="002F070F"/>
    <w:p w14:paraId="6DF1580E" w14:textId="77777777" w:rsidR="002F070F" w:rsidRPr="0007297C" w:rsidRDefault="002F070F" w:rsidP="002F070F">
      <w:r w:rsidRPr="0007297C">
        <w:t xml:space="preserve">Item [3.4] inserts new subclauses (4A), (4B) and (4C) into clause 5.  </w:t>
      </w:r>
      <w:r w:rsidRPr="0007297C">
        <w:br/>
      </w:r>
      <w:r w:rsidRPr="0007297C">
        <w:br/>
        <w:t>New subclause (4A) requires that the nutrition information panel must include a declaration of the average amount of galactose where a claim requiring nutrition information is made in relation to lactose. That declaration must be made in accordance with subclause 5(7) of Standard 1.2.8. This moves and amends a requirement that was in Schedule 1 of Standard 1.2.</w:t>
      </w:r>
      <w:r>
        <w:t>7</w:t>
      </w:r>
      <w:r w:rsidRPr="0007297C">
        <w:t xml:space="preserve">. </w:t>
      </w:r>
    </w:p>
    <w:p w14:paraId="5ECBF4BD" w14:textId="77777777" w:rsidR="002F070F" w:rsidRPr="0007297C" w:rsidRDefault="002F070F" w:rsidP="002F070F"/>
    <w:p w14:paraId="5178E6D4" w14:textId="77777777" w:rsidR="002F070F" w:rsidRPr="0007297C" w:rsidRDefault="002F070F" w:rsidP="002F070F">
      <w:r w:rsidRPr="0007297C">
        <w:t>New subclause (4B) requires that the nutrition information panel must include a declaration of the average amount of potassium where a claim requiring nutrition information is made in relation to salt or sodium. That declaration must be made in accordance with subclause 5(7) of Standard 1.2.8. This moves and amends a requirement that was in Schedule 1 of Standard 1.2.7.</w:t>
      </w:r>
    </w:p>
    <w:p w14:paraId="263C29A2" w14:textId="77777777" w:rsidR="002F070F" w:rsidRPr="0007297C" w:rsidRDefault="002F070F" w:rsidP="002F070F"/>
    <w:p w14:paraId="6D1604CA" w14:textId="77777777" w:rsidR="002F070F" w:rsidRPr="00190C64" w:rsidRDefault="002F070F" w:rsidP="002F070F">
      <w:r w:rsidRPr="0007297C">
        <w:t>New subclause (4C)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subclause 5(7) of Standard 1.2.8. This moves and amends a requirement that was in Schedule 1 of Standard 1.2.7.</w:t>
      </w:r>
    </w:p>
    <w:p w14:paraId="00C2AA87" w14:textId="22D684BC" w:rsidR="00F63C2C" w:rsidRDefault="00F63C2C" w:rsidP="002F070F">
      <w:r>
        <w:br w:type="page"/>
      </w:r>
    </w:p>
    <w:p w14:paraId="4714BB29" w14:textId="77777777" w:rsidR="002F070F" w:rsidRPr="0007297C" w:rsidRDefault="002F070F" w:rsidP="002F070F">
      <w:r w:rsidRPr="0007297C">
        <w:lastRenderedPageBreak/>
        <w:t>Item [3.5] varies subclause 5(7) to include references to new subclauses (4A), (4B) and (4C).</w:t>
      </w:r>
    </w:p>
    <w:p w14:paraId="015CDDA1" w14:textId="77777777" w:rsidR="002F070F" w:rsidRPr="0007297C" w:rsidRDefault="002F070F" w:rsidP="002F070F"/>
    <w:p w14:paraId="62AF1E3C" w14:textId="77777777" w:rsidR="002F070F" w:rsidRPr="0007297C" w:rsidRDefault="002F070F" w:rsidP="002F070F">
      <w:r w:rsidRPr="0007297C">
        <w:t>Item [3.</w:t>
      </w:r>
      <w:r>
        <w:t>6</w:t>
      </w:r>
      <w:r w:rsidRPr="0007297C">
        <w:t xml:space="preserve">] replaces the Table to subclause 8(3) with a new Table. The new Table changes the requirements for some particulars that must be included on the label for certain claims requiring additional nutrition information. </w:t>
      </w:r>
    </w:p>
    <w:p w14:paraId="7327DF34" w14:textId="77777777" w:rsidR="002F070F" w:rsidRPr="0007297C" w:rsidRDefault="002F070F" w:rsidP="002F070F"/>
    <w:p w14:paraId="5BAAB969" w14:textId="77777777" w:rsidR="002F070F" w:rsidRPr="0007297C" w:rsidRDefault="002F070F" w:rsidP="002F070F">
      <w:r w:rsidRPr="0007297C">
        <w:t>Item [3.</w:t>
      </w:r>
      <w:r>
        <w:t>7</w:t>
      </w:r>
      <w:r w:rsidRPr="0007297C">
        <w:t>] varies paragraph 8(5)(b) to remove the reference to ‘metric cup’.</w:t>
      </w:r>
    </w:p>
    <w:p w14:paraId="3F97E429" w14:textId="77777777" w:rsidR="002F070F" w:rsidRPr="0007297C" w:rsidRDefault="002F070F" w:rsidP="002F070F"/>
    <w:p w14:paraId="4118CBC4" w14:textId="77777777" w:rsidR="002F070F" w:rsidRPr="0007297C" w:rsidRDefault="002F070F" w:rsidP="002F070F">
      <w:r w:rsidRPr="0007297C">
        <w:t>Item [3.</w:t>
      </w:r>
      <w:r>
        <w:t>8</w:t>
      </w:r>
      <w:r w:rsidRPr="0007297C">
        <w:t>] varies subclause 8A(2). It replaces ‘of unavailable carbohydrate’ with ‘of the average quantity of unavailable carbohydrate per serving of the food’.</w:t>
      </w:r>
    </w:p>
    <w:p w14:paraId="6F4DF3FE" w14:textId="77777777" w:rsidR="002F070F" w:rsidRPr="0007297C" w:rsidRDefault="002F070F" w:rsidP="002F070F"/>
    <w:p w14:paraId="1C9656A7" w14:textId="77777777" w:rsidR="002F070F" w:rsidRPr="0007297C" w:rsidRDefault="002F070F" w:rsidP="002F070F">
      <w:r w:rsidRPr="0007297C">
        <w:t>Item [3.</w:t>
      </w:r>
      <w:r>
        <w:t>9</w:t>
      </w:r>
      <w:r w:rsidRPr="0007297C">
        <w:t>] varies subclause 8A(4). It replaces ‘presence of relevant substances’ with ‘the average quantity of the substances per serving of the food’.</w:t>
      </w:r>
    </w:p>
    <w:p w14:paraId="4E87166A" w14:textId="77777777" w:rsidR="002F070F" w:rsidRPr="0007297C" w:rsidRDefault="002F070F" w:rsidP="002F070F"/>
    <w:p w14:paraId="2F73C0DE" w14:textId="77777777" w:rsidR="002F070F" w:rsidRPr="0007297C" w:rsidRDefault="002F070F" w:rsidP="002F070F">
      <w:r w:rsidRPr="0007297C">
        <w:t>Item [4] varies subclause 9(1) of Standard 2.9.2 to insert references to subclause 4(4) and clause 8A of Standard 1.2.8 and to clarify the operation of subclause 9(1)</w:t>
      </w:r>
      <w:r>
        <w:t xml:space="preserve"> of Standard 2.9.2</w:t>
      </w:r>
      <w:r w:rsidRPr="0007297C">
        <w:t>.</w:t>
      </w:r>
    </w:p>
    <w:p w14:paraId="06BACEC2" w14:textId="77777777" w:rsidR="002F070F" w:rsidRPr="0007297C" w:rsidRDefault="002F070F" w:rsidP="002F070F"/>
    <w:p w14:paraId="479A8E3E" w14:textId="77777777" w:rsidR="002F070F" w:rsidRDefault="002F070F" w:rsidP="002F070F"/>
    <w:p w14:paraId="0F4FA8FB" w14:textId="77777777" w:rsidR="002F070F" w:rsidRDefault="002F070F" w:rsidP="002F070F">
      <w:pPr>
        <w:widowControl/>
        <w:rPr>
          <w:lang w:val="en-AU" w:eastAsia="en-GB" w:bidi="ar-SA"/>
        </w:rPr>
      </w:pPr>
      <w:r>
        <w:rPr>
          <w:lang w:val="en-AU" w:eastAsia="en-GB" w:bidi="ar-SA"/>
        </w:rPr>
        <w:br w:type="page"/>
      </w:r>
    </w:p>
    <w:p w14:paraId="7E127175" w14:textId="77777777" w:rsidR="002F070F" w:rsidRPr="00972752" w:rsidRDefault="002F070F" w:rsidP="005B06CC">
      <w:pPr>
        <w:pStyle w:val="FSCh2Part"/>
        <w:ind w:left="0" w:firstLine="0"/>
      </w:pPr>
      <w:bookmarkStart w:id="146" w:name="_Toc428369913"/>
      <w:bookmarkStart w:id="147" w:name="_Toc428861620"/>
      <w:r w:rsidRPr="00932F14">
        <w:lastRenderedPageBreak/>
        <w:t xml:space="preserve">Attachment </w:t>
      </w:r>
      <w:r>
        <w:t>B – Approved d</w:t>
      </w:r>
      <w:r w:rsidRPr="00D80068">
        <w:t xml:space="preserve">raft variation to the revised </w:t>
      </w:r>
      <w:r w:rsidRPr="00D80068">
        <w:rPr>
          <w:i/>
        </w:rPr>
        <w:t xml:space="preserve">Australia New Zealand Food Standards Code </w:t>
      </w:r>
      <w:r w:rsidRPr="00055DB1">
        <w:t>(commencing 1 March 2016)</w:t>
      </w:r>
      <w:bookmarkEnd w:id="146"/>
      <w:bookmarkEnd w:id="147"/>
    </w:p>
    <w:p w14:paraId="24979243" w14:textId="77777777" w:rsidR="002F070F" w:rsidRPr="00D80068" w:rsidRDefault="002F070F" w:rsidP="002F070F">
      <w:pPr>
        <w:rPr>
          <w:noProof/>
          <w:sz w:val="20"/>
          <w:lang w:val="en-AU" w:eastAsia="en-AU"/>
        </w:rPr>
      </w:pPr>
      <w:r w:rsidRPr="00D80068">
        <w:rPr>
          <w:noProof/>
          <w:sz w:val="20"/>
          <w:lang w:eastAsia="en-GB" w:bidi="ar-SA"/>
        </w:rPr>
        <w:drawing>
          <wp:inline distT="0" distB="0" distL="0" distR="0" wp14:anchorId="6DDF3AE9" wp14:editId="27E3E7DE">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5D2D873" w14:textId="77777777" w:rsidR="002F070F" w:rsidRPr="00D80068" w:rsidRDefault="002F070F" w:rsidP="002F070F">
      <w:pPr>
        <w:pBdr>
          <w:bottom w:val="single" w:sz="4" w:space="1" w:color="auto"/>
        </w:pBdr>
        <w:tabs>
          <w:tab w:val="left" w:pos="851"/>
        </w:tabs>
        <w:jc w:val="center"/>
        <w:rPr>
          <w:sz w:val="20"/>
          <w:szCs w:val="20"/>
          <w:lang w:bidi="ar-SA"/>
        </w:rPr>
      </w:pPr>
    </w:p>
    <w:p w14:paraId="64C691E3" w14:textId="77777777" w:rsidR="002F070F" w:rsidRDefault="002F070F" w:rsidP="002F070F">
      <w:pPr>
        <w:pBdr>
          <w:bottom w:val="single" w:sz="4" w:space="1" w:color="auto"/>
        </w:pBdr>
        <w:rPr>
          <w:b/>
          <w:sz w:val="20"/>
          <w:szCs w:val="20"/>
        </w:rPr>
      </w:pPr>
      <w:r w:rsidRPr="00CB5D78">
        <w:rPr>
          <w:rFonts w:cs="Arial"/>
          <w:b/>
          <w:i/>
          <w:sz w:val="20"/>
          <w:szCs w:val="20"/>
        </w:rPr>
        <w:t>Australia New Zealand Food Standards Code</w:t>
      </w:r>
      <w:r w:rsidRPr="00D80068">
        <w:rPr>
          <w:rFonts w:cs="Arial"/>
          <w:b/>
          <w:sz w:val="20"/>
          <w:szCs w:val="20"/>
        </w:rPr>
        <w:t xml:space="preserve"> –</w:t>
      </w:r>
      <w:r w:rsidRPr="00D80068">
        <w:rPr>
          <w:rFonts w:cs="Arial"/>
          <w:b/>
          <w:color w:val="000000"/>
          <w:sz w:val="20"/>
          <w:szCs w:val="20"/>
        </w:rPr>
        <w:t xml:space="preserve"> Transitional Variation</w:t>
      </w:r>
      <w:r w:rsidRPr="00D80068">
        <w:rPr>
          <w:rFonts w:cs="Arial"/>
          <w:b/>
          <w:sz w:val="20"/>
          <w:szCs w:val="20"/>
        </w:rPr>
        <w:t xml:space="preserve"> 2015 (</w:t>
      </w:r>
      <w:r w:rsidRPr="00D80068">
        <w:rPr>
          <w:b/>
          <w:sz w:val="20"/>
        </w:rPr>
        <w:t xml:space="preserve">Proposal P1037 – Amendments associated with Nutrition </w:t>
      </w:r>
      <w:r>
        <w:rPr>
          <w:b/>
          <w:sz w:val="20"/>
        </w:rPr>
        <w:t xml:space="preserve">Content &amp; Health </w:t>
      </w:r>
      <w:r w:rsidRPr="00D80068">
        <w:rPr>
          <w:b/>
          <w:sz w:val="20"/>
        </w:rPr>
        <w:t>Claims</w:t>
      </w:r>
      <w:r w:rsidRPr="00D80068">
        <w:rPr>
          <w:rFonts w:cs="Arial"/>
          <w:b/>
          <w:sz w:val="20"/>
          <w:szCs w:val="20"/>
        </w:rPr>
        <w:t>)</w:t>
      </w:r>
      <w:r w:rsidRPr="00D80068">
        <w:rPr>
          <w:b/>
          <w:sz w:val="20"/>
          <w:szCs w:val="20"/>
        </w:rPr>
        <w:t xml:space="preserve"> </w:t>
      </w:r>
    </w:p>
    <w:p w14:paraId="30D790B3" w14:textId="77777777" w:rsidR="002F070F" w:rsidRPr="00D80068" w:rsidRDefault="002F070F" w:rsidP="002F070F">
      <w:pPr>
        <w:pBdr>
          <w:bottom w:val="single" w:sz="4" w:space="1" w:color="auto"/>
        </w:pBdr>
        <w:rPr>
          <w:b/>
          <w:sz w:val="20"/>
          <w:szCs w:val="20"/>
        </w:rPr>
      </w:pPr>
    </w:p>
    <w:p w14:paraId="58D6F7B2" w14:textId="77777777" w:rsidR="002F070F" w:rsidRPr="00D80068" w:rsidRDefault="002F070F" w:rsidP="002F070F">
      <w:pPr>
        <w:rPr>
          <w:sz w:val="20"/>
        </w:rPr>
      </w:pPr>
    </w:p>
    <w:p w14:paraId="49E94B3E" w14:textId="77777777" w:rsidR="002F070F" w:rsidRPr="00D80068" w:rsidRDefault="002F070F" w:rsidP="002F070F">
      <w:pPr>
        <w:rPr>
          <w:sz w:val="20"/>
        </w:rPr>
      </w:pPr>
      <w:r w:rsidRPr="00D80068">
        <w:rPr>
          <w:sz w:val="20"/>
        </w:rPr>
        <w:t xml:space="preserve">The Board of Food Standards Australia New Zealand gives notice of the making of this variation under section 92 of the </w:t>
      </w:r>
      <w:r w:rsidRPr="00D80068">
        <w:rPr>
          <w:i/>
          <w:sz w:val="20"/>
        </w:rPr>
        <w:t>Food Standards Australia New Zealand Act 1991</w:t>
      </w:r>
      <w:r w:rsidRPr="00D80068">
        <w:rPr>
          <w:sz w:val="20"/>
        </w:rPr>
        <w:t>.  Th</w:t>
      </w:r>
      <w:r>
        <w:rPr>
          <w:sz w:val="20"/>
        </w:rPr>
        <w:t>is</w:t>
      </w:r>
      <w:r w:rsidRPr="00D80068">
        <w:rPr>
          <w:sz w:val="20"/>
        </w:rPr>
        <w:t xml:space="preserve"> </w:t>
      </w:r>
      <w:r>
        <w:rPr>
          <w:sz w:val="20"/>
        </w:rPr>
        <w:t>variation</w:t>
      </w:r>
      <w:r w:rsidRPr="00D80068">
        <w:rPr>
          <w:sz w:val="20"/>
        </w:rPr>
        <w:t xml:space="preserve"> commences on the date specified in clause 2 of the variation.</w:t>
      </w:r>
    </w:p>
    <w:p w14:paraId="15F872BA" w14:textId="77777777" w:rsidR="002F070F" w:rsidRPr="00D80068" w:rsidRDefault="002F070F" w:rsidP="002F070F">
      <w:pPr>
        <w:rPr>
          <w:sz w:val="20"/>
        </w:rPr>
      </w:pPr>
    </w:p>
    <w:p w14:paraId="7755FDF1" w14:textId="77777777" w:rsidR="002F070F" w:rsidRPr="00D80068" w:rsidRDefault="002F070F" w:rsidP="002F070F">
      <w:pPr>
        <w:rPr>
          <w:sz w:val="20"/>
        </w:rPr>
      </w:pPr>
      <w:r w:rsidRPr="00D80068">
        <w:rPr>
          <w:sz w:val="20"/>
        </w:rPr>
        <w:t>Dated [To be completed by Standards Management Officer]</w:t>
      </w:r>
    </w:p>
    <w:p w14:paraId="38FC057B" w14:textId="77777777" w:rsidR="002F070F" w:rsidRPr="00D80068" w:rsidRDefault="002F070F" w:rsidP="002F070F">
      <w:pPr>
        <w:rPr>
          <w:sz w:val="20"/>
        </w:rPr>
      </w:pPr>
    </w:p>
    <w:p w14:paraId="376B0DFC" w14:textId="77777777" w:rsidR="002F070F" w:rsidRPr="00D80068" w:rsidRDefault="002F070F" w:rsidP="002F070F">
      <w:pPr>
        <w:rPr>
          <w:sz w:val="20"/>
        </w:rPr>
      </w:pPr>
    </w:p>
    <w:p w14:paraId="21044F45" w14:textId="77777777" w:rsidR="002F070F" w:rsidRPr="00D80068" w:rsidRDefault="002F070F" w:rsidP="002F070F">
      <w:pPr>
        <w:rPr>
          <w:sz w:val="20"/>
        </w:rPr>
      </w:pPr>
    </w:p>
    <w:p w14:paraId="3D61D1EC" w14:textId="77777777" w:rsidR="002F070F" w:rsidRPr="00D80068" w:rsidRDefault="002F070F" w:rsidP="002F070F">
      <w:pPr>
        <w:rPr>
          <w:sz w:val="20"/>
        </w:rPr>
      </w:pPr>
    </w:p>
    <w:p w14:paraId="6CBF2BFD" w14:textId="77777777" w:rsidR="002F070F" w:rsidRPr="00D80068" w:rsidRDefault="002F070F" w:rsidP="002F070F">
      <w:pPr>
        <w:rPr>
          <w:sz w:val="20"/>
        </w:rPr>
      </w:pPr>
    </w:p>
    <w:p w14:paraId="7D078044" w14:textId="77777777" w:rsidR="002F070F" w:rsidRPr="00D80068" w:rsidRDefault="002F070F" w:rsidP="002F070F">
      <w:pPr>
        <w:rPr>
          <w:sz w:val="20"/>
        </w:rPr>
      </w:pPr>
      <w:r w:rsidRPr="00D80068">
        <w:rPr>
          <w:sz w:val="20"/>
        </w:rPr>
        <w:t>Standards Management Officer</w:t>
      </w:r>
    </w:p>
    <w:p w14:paraId="23D0BE8B" w14:textId="77777777" w:rsidR="002F070F" w:rsidRPr="00D80068" w:rsidRDefault="002F070F" w:rsidP="002F070F">
      <w:pPr>
        <w:rPr>
          <w:sz w:val="20"/>
        </w:rPr>
      </w:pPr>
      <w:r w:rsidRPr="00D80068">
        <w:rPr>
          <w:sz w:val="20"/>
        </w:rPr>
        <w:t>Delegate of the Board of Food Standards Australia New Zealand</w:t>
      </w:r>
    </w:p>
    <w:p w14:paraId="1A2AAE7E" w14:textId="77777777" w:rsidR="002F070F" w:rsidRPr="00D80068" w:rsidRDefault="002F070F" w:rsidP="002F070F">
      <w:pPr>
        <w:rPr>
          <w:sz w:val="20"/>
        </w:rPr>
      </w:pPr>
    </w:p>
    <w:p w14:paraId="7274E300" w14:textId="77777777" w:rsidR="002F070F" w:rsidRPr="00D80068" w:rsidRDefault="002F070F" w:rsidP="002F070F">
      <w:pPr>
        <w:rPr>
          <w:sz w:val="20"/>
        </w:rPr>
      </w:pPr>
    </w:p>
    <w:p w14:paraId="09355EEE" w14:textId="77777777" w:rsidR="002F070F" w:rsidRPr="00D80068" w:rsidRDefault="002F070F" w:rsidP="002F070F">
      <w:pPr>
        <w:rPr>
          <w:sz w:val="20"/>
        </w:rPr>
      </w:pPr>
    </w:p>
    <w:p w14:paraId="5F87818A" w14:textId="77777777" w:rsidR="002F070F" w:rsidRPr="00D80068" w:rsidRDefault="002F070F" w:rsidP="002F070F">
      <w:pPr>
        <w:rPr>
          <w:sz w:val="20"/>
        </w:rPr>
      </w:pPr>
    </w:p>
    <w:p w14:paraId="6C8163FF" w14:textId="77777777" w:rsidR="002F070F" w:rsidRPr="00D80068" w:rsidRDefault="002F070F" w:rsidP="002F070F">
      <w:pPr>
        <w:rPr>
          <w:sz w:val="20"/>
        </w:rPr>
      </w:pPr>
    </w:p>
    <w:p w14:paraId="3AE617D0" w14:textId="77777777" w:rsidR="002F070F" w:rsidRPr="00D80068" w:rsidRDefault="002F070F" w:rsidP="002F070F">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80068">
        <w:rPr>
          <w:b/>
          <w:sz w:val="20"/>
          <w:szCs w:val="20"/>
          <w:lang w:val="en-AU"/>
        </w:rPr>
        <w:t xml:space="preserve">Note:  </w:t>
      </w:r>
    </w:p>
    <w:p w14:paraId="282C48E0" w14:textId="77777777" w:rsidR="002F070F" w:rsidRPr="00D80068" w:rsidRDefault="002F070F" w:rsidP="002F070F">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45F489B3" w14:textId="77777777" w:rsidR="002F070F" w:rsidRPr="00D80068" w:rsidRDefault="002F070F" w:rsidP="002F070F">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80068">
        <w:rPr>
          <w:sz w:val="20"/>
          <w:szCs w:val="20"/>
          <w:lang w:val="en-AU"/>
        </w:rPr>
        <w:t xml:space="preserve">This variation will be published in the Commonwealth of Australia Gazette No. FSC </w:t>
      </w:r>
      <w:r w:rsidRPr="00D80068">
        <w:rPr>
          <w:color w:val="FF0000"/>
          <w:sz w:val="20"/>
          <w:szCs w:val="20"/>
          <w:lang w:val="en-AU"/>
        </w:rPr>
        <w:t>XX on XX Month 20XX</w:t>
      </w:r>
      <w:r w:rsidRPr="00D80068">
        <w:rPr>
          <w:sz w:val="20"/>
          <w:szCs w:val="20"/>
          <w:lang w:val="en-AU"/>
        </w:rPr>
        <w:t xml:space="preserve">. </w:t>
      </w:r>
    </w:p>
    <w:p w14:paraId="51536713" w14:textId="77777777" w:rsidR="002F070F" w:rsidRPr="00D80068" w:rsidRDefault="002F070F" w:rsidP="002F070F">
      <w:pPr>
        <w:rPr>
          <w:sz w:val="20"/>
        </w:rPr>
      </w:pPr>
    </w:p>
    <w:p w14:paraId="07A635F2" w14:textId="77777777" w:rsidR="002F070F" w:rsidRPr="00D80068" w:rsidRDefault="002F070F" w:rsidP="002F070F">
      <w:pPr>
        <w:keepNext/>
        <w:keepLines/>
        <w:widowControl/>
        <w:spacing w:before="360"/>
        <w:ind w:left="964" w:hanging="964"/>
        <w:rPr>
          <w:rFonts w:cs="Arial"/>
          <w:b/>
          <w:szCs w:val="22"/>
          <w:lang w:val="en-AU" w:eastAsia="en-AU" w:bidi="ar-SA"/>
        </w:rPr>
      </w:pPr>
      <w:r w:rsidRPr="00D80068">
        <w:rPr>
          <w:rFonts w:cs="Arial"/>
          <w:b/>
          <w:szCs w:val="22"/>
          <w:lang w:val="en-AU" w:eastAsia="en-AU" w:bidi="ar-SA"/>
        </w:rPr>
        <w:br w:type="page"/>
      </w:r>
    </w:p>
    <w:p w14:paraId="0E7049ED" w14:textId="77777777" w:rsidR="002F070F" w:rsidRPr="00D80068" w:rsidRDefault="002F070F" w:rsidP="002F070F">
      <w:pPr>
        <w:keepNext/>
        <w:keepLines/>
        <w:widowControl/>
        <w:ind w:left="851" w:hanging="851"/>
        <w:rPr>
          <w:b/>
          <w:sz w:val="20"/>
          <w:szCs w:val="20"/>
          <w:lang w:val="en-AU" w:eastAsia="en-AU" w:bidi="ar-SA"/>
        </w:rPr>
      </w:pPr>
      <w:r w:rsidRPr="00D80068">
        <w:rPr>
          <w:b/>
          <w:sz w:val="20"/>
          <w:szCs w:val="20"/>
          <w:lang w:val="en-AU" w:eastAsia="en-AU" w:bidi="ar-SA"/>
        </w:rPr>
        <w:lastRenderedPageBreak/>
        <w:t>1</w:t>
      </w:r>
      <w:r w:rsidRPr="00D80068">
        <w:rPr>
          <w:b/>
          <w:sz w:val="20"/>
          <w:szCs w:val="20"/>
          <w:lang w:val="en-AU" w:eastAsia="en-AU" w:bidi="ar-SA"/>
        </w:rPr>
        <w:tab/>
        <w:t>Name of instrument</w:t>
      </w:r>
    </w:p>
    <w:p w14:paraId="04D0C7BE" w14:textId="77777777" w:rsidR="002F070F" w:rsidRDefault="002F070F" w:rsidP="002F070F">
      <w:pPr>
        <w:keepLines/>
        <w:widowControl/>
        <w:tabs>
          <w:tab w:val="right" w:pos="794"/>
        </w:tabs>
        <w:ind w:left="851" w:hanging="851"/>
        <w:jc w:val="both"/>
        <w:rPr>
          <w:rFonts w:cs="Arial"/>
          <w:sz w:val="20"/>
          <w:szCs w:val="20"/>
          <w:lang w:val="en-AU" w:eastAsia="en-AU" w:bidi="ar-SA"/>
        </w:rPr>
      </w:pPr>
    </w:p>
    <w:p w14:paraId="588B71CE" w14:textId="77777777" w:rsidR="002F070F" w:rsidRDefault="002F070F" w:rsidP="002F070F">
      <w:pPr>
        <w:keepLines/>
        <w:widowControl/>
        <w:rPr>
          <w:rFonts w:cs="Arial"/>
          <w:i/>
          <w:sz w:val="20"/>
          <w:szCs w:val="20"/>
          <w:lang w:val="en-AU" w:eastAsia="en-AU" w:bidi="ar-SA"/>
        </w:rPr>
      </w:pPr>
      <w:r w:rsidRPr="00D80068">
        <w:rPr>
          <w:rFonts w:cs="Arial"/>
          <w:sz w:val="20"/>
          <w:szCs w:val="20"/>
          <w:lang w:val="en-AU" w:eastAsia="en-AU" w:bidi="ar-SA"/>
        </w:rPr>
        <w:t xml:space="preserve">This instrument is the </w:t>
      </w:r>
      <w:r w:rsidRPr="00D80068">
        <w:rPr>
          <w:rFonts w:cs="Arial"/>
          <w:i/>
          <w:sz w:val="20"/>
          <w:szCs w:val="20"/>
          <w:lang w:val="en-AU" w:eastAsia="en-AU" w:bidi="ar-SA"/>
        </w:rPr>
        <w:t>Australia New Zealand Food Standards Code –</w:t>
      </w:r>
      <w:r w:rsidRPr="00D80068">
        <w:rPr>
          <w:rFonts w:cs="Arial"/>
          <w:i/>
          <w:color w:val="000000"/>
          <w:sz w:val="20"/>
          <w:szCs w:val="20"/>
          <w:lang w:val="en-AU" w:eastAsia="en-AU" w:bidi="ar-SA"/>
        </w:rPr>
        <w:t xml:space="preserve"> Transitional Variation</w:t>
      </w:r>
      <w:r w:rsidRPr="00D80068">
        <w:rPr>
          <w:rFonts w:cs="Arial"/>
          <w:i/>
          <w:sz w:val="20"/>
          <w:szCs w:val="20"/>
          <w:lang w:val="en-AU" w:eastAsia="en-AU" w:bidi="ar-SA"/>
        </w:rPr>
        <w:t xml:space="preserve"> 2015 (</w:t>
      </w:r>
      <w:r w:rsidRPr="00D80068">
        <w:rPr>
          <w:rFonts w:cs="Arial"/>
          <w:i/>
          <w:sz w:val="20"/>
          <w:lang w:val="en-AU" w:eastAsia="en-AU" w:bidi="ar-SA"/>
        </w:rPr>
        <w:t xml:space="preserve">Proposal P1037 – Amendments associated with Nutrition </w:t>
      </w:r>
      <w:r>
        <w:rPr>
          <w:rFonts w:cs="Arial"/>
          <w:i/>
          <w:sz w:val="20"/>
          <w:lang w:val="en-AU" w:eastAsia="en-AU" w:bidi="ar-SA"/>
        </w:rPr>
        <w:t xml:space="preserve">Content &amp; Health </w:t>
      </w:r>
      <w:r w:rsidRPr="00D80068">
        <w:rPr>
          <w:rFonts w:cs="Arial"/>
          <w:i/>
          <w:sz w:val="20"/>
          <w:lang w:val="en-AU" w:eastAsia="en-AU" w:bidi="ar-SA"/>
        </w:rPr>
        <w:t>Claims</w:t>
      </w:r>
      <w:r w:rsidRPr="00D80068">
        <w:rPr>
          <w:rFonts w:cs="Arial"/>
          <w:i/>
          <w:sz w:val="20"/>
          <w:szCs w:val="20"/>
          <w:lang w:val="en-AU" w:eastAsia="en-AU" w:bidi="ar-SA"/>
        </w:rPr>
        <w:t>).</w:t>
      </w:r>
    </w:p>
    <w:p w14:paraId="7899C4FF" w14:textId="77777777" w:rsidR="002F070F" w:rsidRPr="00D80068" w:rsidRDefault="002F070F" w:rsidP="002F070F">
      <w:pPr>
        <w:keepLines/>
        <w:widowControl/>
        <w:jc w:val="both"/>
        <w:rPr>
          <w:rFonts w:cs="Arial"/>
          <w:sz w:val="20"/>
          <w:szCs w:val="20"/>
          <w:lang w:val="en-AU" w:eastAsia="en-AU" w:bidi="ar-SA"/>
        </w:rPr>
      </w:pPr>
    </w:p>
    <w:p w14:paraId="3E2770AF" w14:textId="77777777" w:rsidR="002F070F" w:rsidRDefault="002F070F" w:rsidP="002F070F">
      <w:pPr>
        <w:keepNext/>
        <w:keepLines/>
        <w:widowControl/>
        <w:ind w:left="851" w:hanging="851"/>
        <w:rPr>
          <w:rFonts w:cs="Arial"/>
          <w:b/>
          <w:sz w:val="20"/>
          <w:szCs w:val="20"/>
          <w:lang w:val="en-AU" w:eastAsia="en-AU" w:bidi="ar-SA"/>
        </w:rPr>
      </w:pPr>
      <w:r w:rsidRPr="00D80068">
        <w:rPr>
          <w:rFonts w:cs="Arial"/>
          <w:b/>
          <w:sz w:val="20"/>
          <w:szCs w:val="20"/>
          <w:lang w:val="en-AU" w:eastAsia="en-AU" w:bidi="ar-SA"/>
        </w:rPr>
        <w:t>2</w:t>
      </w:r>
      <w:r w:rsidRPr="00D80068">
        <w:rPr>
          <w:rFonts w:cs="Arial"/>
          <w:b/>
          <w:sz w:val="20"/>
          <w:szCs w:val="20"/>
          <w:lang w:val="en-AU" w:eastAsia="en-AU" w:bidi="ar-SA"/>
        </w:rPr>
        <w:tab/>
        <w:t>Commencement</w:t>
      </w:r>
    </w:p>
    <w:p w14:paraId="0A1AC1C5" w14:textId="77777777" w:rsidR="002F070F" w:rsidRPr="00D80068" w:rsidRDefault="002F070F" w:rsidP="002F070F">
      <w:pPr>
        <w:keepNext/>
        <w:keepLines/>
        <w:widowControl/>
        <w:ind w:left="851" w:hanging="851"/>
        <w:rPr>
          <w:rFonts w:cs="Arial"/>
          <w:b/>
          <w:sz w:val="20"/>
          <w:szCs w:val="20"/>
          <w:lang w:val="en-AU" w:eastAsia="en-AU" w:bidi="ar-SA"/>
        </w:rPr>
      </w:pPr>
    </w:p>
    <w:p w14:paraId="3F884E06" w14:textId="77777777" w:rsidR="002F070F" w:rsidRDefault="002F070F" w:rsidP="00CB5D78">
      <w:pPr>
        <w:keepLines/>
        <w:widowControl/>
        <w:rPr>
          <w:rFonts w:cs="Arial"/>
          <w:sz w:val="20"/>
          <w:szCs w:val="20"/>
          <w:lang w:val="en-AU" w:eastAsia="en-AU" w:bidi="ar-SA"/>
        </w:rPr>
      </w:pPr>
      <w:r w:rsidRPr="00D80068">
        <w:rPr>
          <w:rFonts w:cs="Arial"/>
          <w:sz w:val="20"/>
          <w:szCs w:val="20"/>
          <w:lang w:val="en-AU" w:eastAsia="en-AU" w:bidi="ar-SA"/>
        </w:rPr>
        <w:t>This instrument commences on 1 March 2016 immediately after the commencement of Standard 5.1.1 – Revocation and transitional provisions — 2014 Revision.</w:t>
      </w:r>
    </w:p>
    <w:p w14:paraId="6B262381" w14:textId="77777777" w:rsidR="002F070F" w:rsidRPr="00D80068" w:rsidRDefault="002F070F" w:rsidP="002F070F">
      <w:pPr>
        <w:keepLines/>
        <w:widowControl/>
        <w:jc w:val="both"/>
        <w:rPr>
          <w:rFonts w:cs="Arial"/>
          <w:sz w:val="20"/>
          <w:szCs w:val="20"/>
          <w:lang w:val="en-AU" w:eastAsia="en-AU" w:bidi="ar-SA"/>
        </w:rPr>
      </w:pPr>
    </w:p>
    <w:p w14:paraId="312CF836" w14:textId="77777777" w:rsidR="002F070F" w:rsidRDefault="002F070F" w:rsidP="002F070F">
      <w:pPr>
        <w:keepNext/>
        <w:keepLines/>
        <w:widowControl/>
        <w:ind w:left="851" w:hanging="851"/>
        <w:rPr>
          <w:b/>
          <w:i/>
          <w:sz w:val="20"/>
          <w:szCs w:val="20"/>
          <w:lang w:val="en-AU" w:eastAsia="en-AU" w:bidi="ar-SA"/>
        </w:rPr>
      </w:pPr>
      <w:r w:rsidRPr="00D80068">
        <w:rPr>
          <w:rFonts w:cs="Arial"/>
          <w:b/>
          <w:sz w:val="20"/>
          <w:szCs w:val="20"/>
          <w:lang w:val="en-AU" w:eastAsia="en-AU" w:bidi="ar-SA"/>
        </w:rPr>
        <w:t>3</w:t>
      </w:r>
      <w:r w:rsidRPr="00D80068">
        <w:rPr>
          <w:rFonts w:cs="Arial"/>
          <w:b/>
          <w:sz w:val="20"/>
          <w:szCs w:val="20"/>
          <w:lang w:val="en-AU" w:eastAsia="en-AU" w:bidi="ar-SA"/>
        </w:rPr>
        <w:tab/>
        <w:t xml:space="preserve">Variation </w:t>
      </w:r>
      <w:r w:rsidRPr="00D80068">
        <w:rPr>
          <w:b/>
          <w:sz w:val="20"/>
          <w:szCs w:val="20"/>
          <w:lang w:val="en-AU" w:eastAsia="en-AU" w:bidi="ar-SA"/>
        </w:rPr>
        <w:t xml:space="preserve">to Standards in the </w:t>
      </w:r>
      <w:r w:rsidRPr="00D80068">
        <w:rPr>
          <w:b/>
          <w:i/>
          <w:sz w:val="20"/>
          <w:szCs w:val="20"/>
          <w:lang w:val="en-AU" w:eastAsia="en-AU" w:bidi="ar-SA"/>
        </w:rPr>
        <w:t>Australia New Zealand Food Standards Code</w:t>
      </w:r>
    </w:p>
    <w:p w14:paraId="253AFC1F" w14:textId="77777777" w:rsidR="002F070F" w:rsidRPr="00D80068" w:rsidRDefault="002F070F" w:rsidP="002F070F">
      <w:pPr>
        <w:keepNext/>
        <w:keepLines/>
        <w:widowControl/>
        <w:ind w:left="851" w:hanging="851"/>
        <w:rPr>
          <w:rFonts w:cs="Arial"/>
          <w:b/>
          <w:sz w:val="20"/>
          <w:szCs w:val="20"/>
          <w:lang w:val="en-AU" w:eastAsia="en-AU" w:bidi="ar-SA"/>
        </w:rPr>
      </w:pPr>
    </w:p>
    <w:p w14:paraId="62E6F632" w14:textId="77777777" w:rsidR="002F070F" w:rsidRDefault="002F070F" w:rsidP="002F070F">
      <w:pPr>
        <w:keepLines/>
        <w:widowControl/>
        <w:jc w:val="both"/>
        <w:rPr>
          <w:rFonts w:cs="Arial"/>
          <w:sz w:val="20"/>
          <w:szCs w:val="20"/>
          <w:lang w:val="en-AU" w:eastAsia="en-AU" w:bidi="ar-SA"/>
        </w:rPr>
      </w:pPr>
      <w:r w:rsidRPr="00D80068">
        <w:rPr>
          <w:rFonts w:cs="Arial"/>
          <w:sz w:val="20"/>
          <w:szCs w:val="20"/>
          <w:lang w:val="en-AU" w:eastAsia="en-AU" w:bidi="ar-SA"/>
        </w:rPr>
        <w:t xml:space="preserve">The Schedule varies Standards in the </w:t>
      </w:r>
      <w:r w:rsidRPr="00D80068">
        <w:rPr>
          <w:rFonts w:cs="Arial"/>
          <w:i/>
          <w:sz w:val="20"/>
          <w:szCs w:val="20"/>
          <w:lang w:val="en-AU" w:eastAsia="en-AU" w:bidi="ar-SA"/>
        </w:rPr>
        <w:t>Australia New Zealand Food Standards Code</w:t>
      </w:r>
      <w:r w:rsidRPr="00D80068">
        <w:rPr>
          <w:rFonts w:cs="Arial"/>
          <w:sz w:val="20"/>
          <w:szCs w:val="20"/>
          <w:lang w:val="en-AU" w:eastAsia="en-AU" w:bidi="ar-SA"/>
        </w:rPr>
        <w:t>.</w:t>
      </w:r>
    </w:p>
    <w:p w14:paraId="517FBA33" w14:textId="77777777" w:rsidR="002F070F" w:rsidRDefault="002F070F" w:rsidP="002F070F">
      <w:pPr>
        <w:keepLines/>
        <w:widowControl/>
        <w:jc w:val="both"/>
        <w:rPr>
          <w:rFonts w:cs="Arial"/>
          <w:sz w:val="20"/>
          <w:szCs w:val="20"/>
          <w:lang w:val="en-AU" w:eastAsia="en-AU" w:bidi="ar-SA"/>
        </w:rPr>
      </w:pPr>
    </w:p>
    <w:p w14:paraId="2C170ECB" w14:textId="77777777" w:rsidR="002F070F" w:rsidRDefault="002F070F" w:rsidP="002F070F">
      <w:pPr>
        <w:keepNext/>
        <w:keepLines/>
        <w:widowControl/>
        <w:ind w:left="851" w:hanging="851"/>
        <w:rPr>
          <w:b/>
          <w:i/>
          <w:sz w:val="20"/>
          <w:szCs w:val="20"/>
          <w:lang w:val="en-AU" w:eastAsia="en-AU" w:bidi="ar-SA"/>
        </w:rPr>
      </w:pPr>
      <w:r>
        <w:rPr>
          <w:rFonts w:cs="Arial"/>
          <w:b/>
          <w:sz w:val="20"/>
          <w:szCs w:val="20"/>
          <w:lang w:val="en-AU" w:eastAsia="en-AU" w:bidi="ar-SA"/>
        </w:rPr>
        <w:t>4</w:t>
      </w:r>
      <w:r w:rsidRPr="00D80068">
        <w:rPr>
          <w:rFonts w:cs="Arial"/>
          <w:b/>
          <w:sz w:val="20"/>
          <w:szCs w:val="20"/>
          <w:lang w:val="en-AU" w:eastAsia="en-AU" w:bidi="ar-SA"/>
        </w:rPr>
        <w:tab/>
      </w:r>
      <w:r>
        <w:rPr>
          <w:rFonts w:cs="Arial"/>
          <w:b/>
          <w:sz w:val="20"/>
          <w:szCs w:val="20"/>
          <w:lang w:val="en-AU" w:eastAsia="en-AU" w:bidi="ar-SA"/>
        </w:rPr>
        <w:t>Effect of prescribed v</w:t>
      </w:r>
      <w:r w:rsidRPr="00D80068">
        <w:rPr>
          <w:rFonts w:cs="Arial"/>
          <w:b/>
          <w:sz w:val="20"/>
          <w:szCs w:val="20"/>
          <w:lang w:val="en-AU" w:eastAsia="en-AU" w:bidi="ar-SA"/>
        </w:rPr>
        <w:t>ariation</w:t>
      </w:r>
      <w:r>
        <w:rPr>
          <w:rFonts w:cs="Arial"/>
          <w:b/>
          <w:sz w:val="20"/>
          <w:szCs w:val="20"/>
          <w:lang w:val="en-AU" w:eastAsia="en-AU" w:bidi="ar-SA"/>
        </w:rPr>
        <w:t>s</w:t>
      </w:r>
      <w:r w:rsidRPr="00D80068">
        <w:rPr>
          <w:rFonts w:cs="Arial"/>
          <w:b/>
          <w:sz w:val="20"/>
          <w:szCs w:val="20"/>
          <w:lang w:val="en-AU" w:eastAsia="en-AU" w:bidi="ar-SA"/>
        </w:rPr>
        <w:t xml:space="preserve"> </w:t>
      </w:r>
    </w:p>
    <w:p w14:paraId="0B9F5A8A" w14:textId="77777777" w:rsidR="002F070F" w:rsidRPr="00D80068" w:rsidRDefault="002F070F" w:rsidP="002F070F">
      <w:pPr>
        <w:keepNext/>
        <w:keepLines/>
        <w:widowControl/>
        <w:ind w:left="851" w:hanging="851"/>
        <w:rPr>
          <w:rFonts w:cs="Arial"/>
          <w:b/>
          <w:sz w:val="20"/>
          <w:szCs w:val="20"/>
          <w:lang w:val="en-AU" w:eastAsia="en-AU" w:bidi="ar-SA"/>
        </w:rPr>
      </w:pPr>
    </w:p>
    <w:p w14:paraId="7B611CF9" w14:textId="77777777" w:rsidR="002F070F" w:rsidRDefault="002F070F" w:rsidP="002F070F">
      <w:pPr>
        <w:pStyle w:val="Subclause"/>
      </w:pPr>
      <w:r>
        <w:t>(1)</w:t>
      </w:r>
      <w:r>
        <w:tab/>
      </w:r>
      <w:r w:rsidRPr="00AE1AEF">
        <w:t xml:space="preserve">In this </w:t>
      </w:r>
      <w:r>
        <w:t>section:</w:t>
      </w:r>
    </w:p>
    <w:p w14:paraId="57A1692D" w14:textId="77777777" w:rsidR="002F070F" w:rsidRDefault="002F070F" w:rsidP="002F070F">
      <w:pPr>
        <w:pStyle w:val="ListParagraph"/>
        <w:tabs>
          <w:tab w:val="left" w:pos="851"/>
        </w:tabs>
        <w:ind w:left="0"/>
        <w:rPr>
          <w:sz w:val="20"/>
          <w:szCs w:val="20"/>
        </w:rPr>
      </w:pPr>
    </w:p>
    <w:p w14:paraId="664CD2C4" w14:textId="77777777" w:rsidR="002F070F" w:rsidRDefault="002F070F" w:rsidP="002F070F">
      <w:pPr>
        <w:pStyle w:val="Clause"/>
        <w:ind w:left="1701" w:hanging="850"/>
        <w:rPr>
          <w:rFonts w:cs="Arial"/>
          <w:i/>
          <w:lang w:val="en-AU" w:eastAsia="en-AU" w:bidi="ar-SA"/>
        </w:rPr>
      </w:pPr>
      <w:r>
        <w:rPr>
          <w:b/>
        </w:rPr>
        <w:t xml:space="preserve">the Code </w:t>
      </w:r>
      <w:r w:rsidRPr="00EE0CA2">
        <w:t>means the</w:t>
      </w:r>
      <w:r>
        <w:rPr>
          <w:b/>
        </w:rPr>
        <w:t xml:space="preserve"> </w:t>
      </w:r>
      <w:r w:rsidRPr="00D80068">
        <w:rPr>
          <w:rFonts w:cs="Arial"/>
          <w:i/>
          <w:lang w:val="en-AU" w:eastAsia="en-AU" w:bidi="ar-SA"/>
        </w:rPr>
        <w:t xml:space="preserve">Australia </w:t>
      </w:r>
      <w:r>
        <w:rPr>
          <w:rFonts w:cs="Arial"/>
          <w:i/>
          <w:lang w:val="en-AU" w:eastAsia="en-AU" w:bidi="ar-SA"/>
        </w:rPr>
        <w:t>New Zealand Food Standards Code.</w:t>
      </w:r>
    </w:p>
    <w:p w14:paraId="2C3E86DD" w14:textId="77777777" w:rsidR="002F070F" w:rsidRDefault="002F070F" w:rsidP="002F070F">
      <w:pPr>
        <w:pStyle w:val="Clause"/>
        <w:ind w:left="1701" w:hanging="850"/>
        <w:rPr>
          <w:b/>
        </w:rPr>
      </w:pPr>
    </w:p>
    <w:p w14:paraId="75C8A812" w14:textId="77777777" w:rsidR="002F070F" w:rsidRPr="00AE1AEF" w:rsidRDefault="002F070F" w:rsidP="002F070F">
      <w:pPr>
        <w:pStyle w:val="Clause"/>
        <w:ind w:left="1701" w:hanging="850"/>
      </w:pPr>
      <w:r>
        <w:rPr>
          <w:b/>
        </w:rPr>
        <w:t>prescribed variations</w:t>
      </w:r>
      <w:r>
        <w:t xml:space="preserve"> means the variations to the Code made by this instrument other than the variations made by items 1, 2 and 3.1 of the Schedule.</w:t>
      </w:r>
    </w:p>
    <w:p w14:paraId="2DE4A7F0" w14:textId="77777777" w:rsidR="002F070F" w:rsidRDefault="002F070F" w:rsidP="002F070F">
      <w:pPr>
        <w:pStyle w:val="Clause"/>
        <w:ind w:left="1701" w:hanging="850"/>
        <w:rPr>
          <w:b/>
        </w:rPr>
      </w:pPr>
    </w:p>
    <w:p w14:paraId="380B5D28" w14:textId="77777777" w:rsidR="002F070F" w:rsidRDefault="002F070F" w:rsidP="002F070F">
      <w:pPr>
        <w:pStyle w:val="Clause"/>
        <w:ind w:left="1701" w:hanging="850"/>
      </w:pPr>
      <w:r w:rsidRPr="00080437">
        <w:rPr>
          <w:b/>
        </w:rPr>
        <w:t>transitional period</w:t>
      </w:r>
      <w:r w:rsidRPr="00080437">
        <w:t xml:space="preserve"> means the period of time that commences on </w:t>
      </w:r>
      <w:r>
        <w:t xml:space="preserve">1 March 2016 and </w:t>
      </w:r>
      <w:r w:rsidRPr="00080437">
        <w:t xml:space="preserve">ends on </w:t>
      </w:r>
      <w:r>
        <w:t>18 January 2017.</w:t>
      </w:r>
    </w:p>
    <w:p w14:paraId="27019F80" w14:textId="77777777" w:rsidR="002F070F" w:rsidRDefault="002F070F" w:rsidP="002F070F">
      <w:pPr>
        <w:pStyle w:val="Subclause"/>
      </w:pPr>
    </w:p>
    <w:p w14:paraId="0450AE6C" w14:textId="77777777" w:rsidR="002F070F" w:rsidRDefault="002F070F" w:rsidP="002F070F">
      <w:pPr>
        <w:pStyle w:val="Subclause"/>
      </w:pPr>
      <w:r>
        <w:t>(2)</w:t>
      </w:r>
      <w:r>
        <w:tab/>
        <w:t>Section 1.1.1</w:t>
      </w:r>
      <w:r w:rsidRPr="00D80068">
        <w:t>—</w:t>
      </w:r>
      <w:r>
        <w:t>9 of the Code</w:t>
      </w:r>
      <w:r>
        <w:rPr>
          <w:i/>
        </w:rPr>
        <w:t xml:space="preserve"> </w:t>
      </w:r>
      <w:r>
        <w:t>does not apply to the prescribed variations.</w:t>
      </w:r>
    </w:p>
    <w:p w14:paraId="26400C33" w14:textId="77777777" w:rsidR="002F070F" w:rsidRDefault="002F070F" w:rsidP="002F070F">
      <w:pPr>
        <w:pStyle w:val="Subclause"/>
      </w:pPr>
    </w:p>
    <w:p w14:paraId="0220C564" w14:textId="77777777" w:rsidR="002F070F" w:rsidRDefault="002F070F" w:rsidP="002F070F">
      <w:pPr>
        <w:pStyle w:val="Subclause"/>
      </w:pPr>
      <w:r>
        <w:t>(3)</w:t>
      </w:r>
      <w:r>
        <w:tab/>
      </w:r>
      <w:r w:rsidRPr="00080437">
        <w:t xml:space="preserve">During </w:t>
      </w:r>
      <w:r>
        <w:t xml:space="preserve">the </w:t>
      </w:r>
      <w:r w:rsidRPr="00080437">
        <w:t xml:space="preserve">transition period, </w:t>
      </w:r>
      <w:r>
        <w:rPr>
          <w:rStyle w:val="SubclauseChar"/>
          <w:rFonts w:eastAsiaTheme="majorEastAsia" w:cstheme="minorBidi"/>
        </w:rPr>
        <w:t>a food</w:t>
      </w:r>
      <w:r w:rsidRPr="00080437">
        <w:t xml:space="preserve"> may comply with either</w:t>
      </w:r>
      <w:r>
        <w:t>:</w:t>
      </w:r>
    </w:p>
    <w:p w14:paraId="3E413E08" w14:textId="77777777" w:rsidR="002F070F" w:rsidRPr="0053202C" w:rsidRDefault="002F070F" w:rsidP="002F070F">
      <w:pPr>
        <w:pStyle w:val="Subclause"/>
      </w:pPr>
    </w:p>
    <w:p w14:paraId="67F5954B" w14:textId="77777777" w:rsidR="002F070F" w:rsidRDefault="002F070F" w:rsidP="002F070F">
      <w:pPr>
        <w:pStyle w:val="Paragraph"/>
      </w:pPr>
      <w:r>
        <w:t>(a)</w:t>
      </w:r>
      <w:r>
        <w:tab/>
      </w:r>
      <w:r w:rsidRPr="00080437">
        <w:t xml:space="preserve">the Code as </w:t>
      </w:r>
      <w:r>
        <w:t>in force without the prescribed amendments</w:t>
      </w:r>
      <w:r w:rsidRPr="00080437">
        <w:t>; or</w:t>
      </w:r>
    </w:p>
    <w:p w14:paraId="536D4DAA" w14:textId="77777777" w:rsidR="002F070F" w:rsidRDefault="002F070F" w:rsidP="002F070F">
      <w:pPr>
        <w:pStyle w:val="Paragraph"/>
      </w:pPr>
      <w:r>
        <w:t xml:space="preserve">(b) </w:t>
      </w:r>
      <w:r>
        <w:tab/>
      </w:r>
      <w:r w:rsidRPr="00080437">
        <w:t xml:space="preserve">the Code </w:t>
      </w:r>
      <w:r w:rsidRPr="00AE1AEF">
        <w:t xml:space="preserve">as amended by </w:t>
      </w:r>
      <w:r>
        <w:t>the prescribed variations.</w:t>
      </w:r>
    </w:p>
    <w:p w14:paraId="2349506C" w14:textId="77777777" w:rsidR="002F070F" w:rsidRDefault="002F070F" w:rsidP="002F070F">
      <w:pPr>
        <w:pStyle w:val="ListParagraph"/>
        <w:widowControl/>
        <w:tabs>
          <w:tab w:val="left" w:pos="851"/>
        </w:tabs>
        <w:ind w:left="0"/>
        <w:rPr>
          <w:sz w:val="20"/>
        </w:rPr>
      </w:pPr>
    </w:p>
    <w:p w14:paraId="4E9EF4A8" w14:textId="77777777" w:rsidR="002F070F" w:rsidRDefault="002F070F" w:rsidP="002F070F">
      <w:pPr>
        <w:pStyle w:val="Subclause"/>
      </w:pPr>
      <w:r w:rsidRPr="0089156C">
        <w:t>but not a combination of both.</w:t>
      </w:r>
    </w:p>
    <w:p w14:paraId="431CBE6D" w14:textId="77777777" w:rsidR="002F070F" w:rsidRPr="0053202C" w:rsidRDefault="002F070F" w:rsidP="002F070F">
      <w:pPr>
        <w:tabs>
          <w:tab w:val="left" w:pos="851"/>
        </w:tabs>
        <w:rPr>
          <w:sz w:val="20"/>
          <w:szCs w:val="20"/>
        </w:rPr>
      </w:pPr>
    </w:p>
    <w:p w14:paraId="40C23CEE" w14:textId="77777777" w:rsidR="002F070F" w:rsidRPr="004D1A65" w:rsidRDefault="002F070F" w:rsidP="002F070F">
      <w:pPr>
        <w:pStyle w:val="Subclause"/>
      </w:pPr>
      <w:r>
        <w:t>(4)</w:t>
      </w:r>
      <w:r>
        <w:tab/>
      </w:r>
      <w:r w:rsidRPr="00C50958">
        <w:t xml:space="preserve">A food is taken to comply with the Code as amended by </w:t>
      </w:r>
      <w:r>
        <w:t>the prescribed variations</w:t>
      </w:r>
      <w:r w:rsidRPr="00C50958">
        <w:t xml:space="preserve"> for a period of 12 months commencing on </w:t>
      </w:r>
      <w:r>
        <w:t xml:space="preserve">18 January 2017 </w:t>
      </w:r>
      <w:r w:rsidRPr="00C50958">
        <w:t xml:space="preserve">if the food otherwise complied with the Code before </w:t>
      </w:r>
      <w:r>
        <w:t>that date</w:t>
      </w:r>
      <w:r w:rsidRPr="00C50958">
        <w:t>.</w:t>
      </w:r>
      <w:r>
        <w:br/>
      </w:r>
    </w:p>
    <w:p w14:paraId="76A84E6C" w14:textId="77777777" w:rsidR="002F070F" w:rsidRPr="00055DB1" w:rsidRDefault="002F070F" w:rsidP="002F070F">
      <w:pPr>
        <w:keepNext/>
        <w:keepLines/>
        <w:widowControl/>
        <w:ind w:left="2410" w:hanging="2410"/>
        <w:jc w:val="center"/>
        <w:rPr>
          <w:rFonts w:ascii="Arial Bold" w:hAnsi="Arial Bold" w:cs="Arial"/>
          <w:b/>
          <w:caps/>
          <w:color w:val="000000"/>
          <w:sz w:val="20"/>
          <w:szCs w:val="20"/>
          <w:lang w:val="en-AU" w:eastAsia="en-AU" w:bidi="ar-SA"/>
        </w:rPr>
      </w:pPr>
      <w:r w:rsidRPr="00055DB1">
        <w:rPr>
          <w:rFonts w:ascii="Arial Bold" w:hAnsi="Arial Bold" w:cs="Arial"/>
          <w:b/>
          <w:caps/>
          <w:color w:val="000000"/>
          <w:sz w:val="20"/>
          <w:szCs w:val="20"/>
          <w:lang w:val="en-AU" w:eastAsia="en-AU" w:bidi="ar-SA"/>
        </w:rPr>
        <w:t>Schedule</w:t>
      </w:r>
    </w:p>
    <w:p w14:paraId="31D58EE1" w14:textId="77777777" w:rsidR="002F070F" w:rsidRPr="00D80068" w:rsidRDefault="002F070F" w:rsidP="002F070F">
      <w:pPr>
        <w:pStyle w:val="FSCtMain"/>
      </w:pPr>
      <w:r w:rsidRPr="0023531E">
        <w:rPr>
          <w:b/>
        </w:rPr>
        <w:t>[1]</w:t>
      </w:r>
      <w:r w:rsidRPr="0023531E">
        <w:rPr>
          <w:b/>
        </w:rPr>
        <w:tab/>
        <w:t>Standard 1.1.2</w:t>
      </w:r>
      <w:r w:rsidRPr="00D80068">
        <w:t xml:space="preserve"> is varied by </w:t>
      </w:r>
    </w:p>
    <w:p w14:paraId="68D71B23" w14:textId="4788B1BC" w:rsidR="002F070F" w:rsidRPr="00D80068" w:rsidRDefault="002F070F" w:rsidP="002F070F">
      <w:pPr>
        <w:pStyle w:val="FSCtMain"/>
        <w:rPr>
          <w:b/>
        </w:rPr>
      </w:pPr>
      <w:r w:rsidRPr="00D80068">
        <w:t>[1.1]</w:t>
      </w:r>
      <w:r w:rsidRPr="00D80068">
        <w:rPr>
          <w:b/>
        </w:rPr>
        <w:tab/>
      </w:r>
      <w:r w:rsidRPr="00D80068">
        <w:t>inserting after section 1.1.2—14</w:t>
      </w:r>
    </w:p>
    <w:p w14:paraId="1F38FFE8" w14:textId="77777777" w:rsidR="002F070F" w:rsidRPr="00D80068" w:rsidRDefault="002F070F" w:rsidP="002F070F">
      <w:pPr>
        <w:pStyle w:val="FSCh5Section"/>
      </w:pPr>
      <w:r w:rsidRPr="00D80068">
        <w:t>“1.1.2—15</w:t>
      </w:r>
      <w:r w:rsidRPr="00D80068">
        <w:tab/>
        <w:t>Definition of Permitted Health Star Rating symbol</w:t>
      </w:r>
    </w:p>
    <w:p w14:paraId="68BE3A3A" w14:textId="77777777" w:rsidR="002F070F" w:rsidRDefault="002F070F" w:rsidP="002F070F">
      <w:pPr>
        <w:pStyle w:val="FSCtMain"/>
        <w:rPr>
          <w:szCs w:val="20"/>
          <w:lang w:eastAsia="en-GB"/>
        </w:rPr>
      </w:pPr>
      <w:r w:rsidRPr="00D80068">
        <w:tab/>
        <w:t>(1)</w:t>
      </w:r>
      <w:r w:rsidRPr="00D80068">
        <w:tab/>
        <w:t xml:space="preserve">In this Code, </w:t>
      </w:r>
      <w:r w:rsidRPr="00D80068">
        <w:rPr>
          <w:b/>
          <w:i/>
        </w:rPr>
        <w:t>Permitted</w:t>
      </w:r>
      <w:r w:rsidRPr="00D80068">
        <w:rPr>
          <w:rFonts w:eastAsia="Calibri"/>
          <w:b/>
          <w:i/>
        </w:rPr>
        <w:t xml:space="preserve"> Health Star Rating </w:t>
      </w:r>
      <w:r w:rsidRPr="00D80068">
        <w:rPr>
          <w:b/>
          <w:i/>
        </w:rPr>
        <w:t>symbol</w:t>
      </w:r>
      <w:r w:rsidRPr="00D80068">
        <w:t xml:space="preserve"> means </w:t>
      </w:r>
      <w:r w:rsidRPr="00584AF3">
        <w:rPr>
          <w:szCs w:val="20"/>
        </w:rPr>
        <w:t>an image subject to</w:t>
      </w:r>
      <w:r>
        <w:rPr>
          <w:szCs w:val="20"/>
        </w:rPr>
        <w:t xml:space="preserve"> any of the following</w:t>
      </w:r>
      <w:r>
        <w:rPr>
          <w:szCs w:val="20"/>
          <w:lang w:eastAsia="en-GB"/>
        </w:rPr>
        <w:t>:</w:t>
      </w:r>
    </w:p>
    <w:p w14:paraId="64CC9FD4" w14:textId="77777777" w:rsidR="002F070F" w:rsidRDefault="002F070F" w:rsidP="002F070F">
      <w:pPr>
        <w:pStyle w:val="FSCtPara"/>
      </w:pPr>
      <w:r>
        <w:tab/>
        <w:t xml:space="preserve">(a) </w:t>
      </w:r>
      <w:r>
        <w:tab/>
      </w:r>
      <w:r w:rsidRPr="00A34357">
        <w:t>an Australian Trade Mark numbered 1641445, 1641446 or 1641447</w:t>
      </w:r>
      <w:r w:rsidRPr="00A34357">
        <w:rPr>
          <w:lang w:eastAsia="en-GB"/>
        </w:rPr>
        <w:t>;</w:t>
      </w:r>
    </w:p>
    <w:p w14:paraId="191C8346" w14:textId="77777777" w:rsidR="002F070F" w:rsidRPr="00D80068" w:rsidRDefault="002F070F" w:rsidP="002F070F">
      <w:pPr>
        <w:pStyle w:val="FSCtPara"/>
      </w:pPr>
      <w:r>
        <w:tab/>
        <w:t xml:space="preserve">(b) </w:t>
      </w:r>
      <w:r>
        <w:tab/>
        <w:t>a New Zealand Trade Mark</w:t>
      </w:r>
      <w:r w:rsidRPr="00DA3DB7">
        <w:t xml:space="preserve"> numbered </w:t>
      </w:r>
      <w:r>
        <w:t>1018807, 1018808</w:t>
      </w:r>
      <w:r w:rsidRPr="007C1771">
        <w:t xml:space="preserve"> </w:t>
      </w:r>
      <w:r>
        <w:t>or</w:t>
      </w:r>
      <w:r w:rsidRPr="007C1771">
        <w:t xml:space="preserve"> 101880</w:t>
      </w:r>
      <w:r>
        <w:t>9.</w:t>
      </w:r>
    </w:p>
    <w:p w14:paraId="75E4E68C" w14:textId="77777777" w:rsidR="002F070F" w:rsidRPr="00D80068" w:rsidRDefault="002F070F" w:rsidP="002F070F">
      <w:pPr>
        <w:pStyle w:val="FSCtMain"/>
        <w:rPr>
          <w:b/>
        </w:rPr>
      </w:pPr>
      <w:r w:rsidRPr="00D80068">
        <w:tab/>
        <w:t>(2)</w:t>
      </w:r>
      <w:r w:rsidRPr="00D80068">
        <w:tab/>
        <w:t xml:space="preserve">To avoid doubt, an image mentioned in subsection (1) does not cease to be a Permitted </w:t>
      </w:r>
      <w:r w:rsidRPr="00D80068">
        <w:rPr>
          <w:rFonts w:eastAsia="Calibri"/>
        </w:rPr>
        <w:t xml:space="preserve">Health Star Rating </w:t>
      </w:r>
      <w:r w:rsidRPr="00D80068">
        <w:t xml:space="preserve">symbol </w:t>
      </w:r>
      <w:r w:rsidRPr="00D80068">
        <w:rPr>
          <w:noProof/>
        </w:rPr>
        <w:t xml:space="preserve">by </w:t>
      </w:r>
      <w:r w:rsidRPr="00D80068">
        <w:t>reason only of the image indicating</w:t>
      </w:r>
      <w:r>
        <w:t>:</w:t>
      </w:r>
    </w:p>
    <w:p w14:paraId="696D8C0E" w14:textId="77777777" w:rsidR="002F070F" w:rsidRPr="00C50958" w:rsidRDefault="002F070F" w:rsidP="002F070F">
      <w:pPr>
        <w:pStyle w:val="FSCtPara"/>
      </w:pPr>
      <w:r w:rsidRPr="00BD6A2F">
        <w:tab/>
        <w:t>(</w:t>
      </w:r>
      <w:r>
        <w:t>a</w:t>
      </w:r>
      <w:r w:rsidRPr="00BD6A2F">
        <w:t>)</w:t>
      </w:r>
      <w:r w:rsidRPr="00BD6A2F">
        <w:tab/>
      </w:r>
      <w:r w:rsidRPr="00D80068">
        <w:t>energy or</w:t>
      </w:r>
      <w:r w:rsidRPr="00C50958">
        <w:t xml:space="preserve"> nutrient content on a per 100 g, per 100 ml or per pack basis; or</w:t>
      </w:r>
    </w:p>
    <w:p w14:paraId="2AA2F763" w14:textId="77777777" w:rsidR="002F070F" w:rsidRPr="00C50958" w:rsidRDefault="002F070F" w:rsidP="002F070F">
      <w:pPr>
        <w:pStyle w:val="FSCtPara"/>
      </w:pPr>
      <w:r w:rsidRPr="00C50958">
        <w:tab/>
        <w:t>(b)</w:t>
      </w:r>
      <w:r w:rsidRPr="00C50958">
        <w:tab/>
        <w:t xml:space="preserve">energy or nutrient content </w:t>
      </w:r>
      <w:r>
        <w:rPr>
          <w:szCs w:val="20"/>
          <w:lang w:eastAsia="en-GB"/>
        </w:rPr>
        <w:t>on a per serving or per reference portion basis</w:t>
      </w:r>
      <w:r w:rsidRPr="00C50958">
        <w:t>; or</w:t>
      </w:r>
    </w:p>
    <w:p w14:paraId="48F965EF" w14:textId="77777777" w:rsidR="002F070F" w:rsidRDefault="002F070F" w:rsidP="002F070F">
      <w:pPr>
        <w:pStyle w:val="FSCtPara"/>
      </w:pPr>
      <w:r w:rsidRPr="00C50958">
        <w:tab/>
        <w:t>(c)</w:t>
      </w:r>
      <w:r w:rsidRPr="00C50958">
        <w:tab/>
      </w:r>
      <w:r w:rsidRPr="0023531E">
        <w:rPr>
          <w:iCs w:val="0"/>
        </w:rPr>
        <w:t>energy or</w:t>
      </w:r>
      <w:r w:rsidRPr="00584AF3">
        <w:rPr>
          <w:szCs w:val="20"/>
          <w:lang w:eastAsia="en-GB"/>
        </w:rPr>
        <w:t xml:space="preserve"> nutrient content </w:t>
      </w:r>
      <w:r w:rsidRPr="00C50958">
        <w:t>at zero or amounts greater than zero</w:t>
      </w:r>
      <w:r w:rsidRPr="00584AF3">
        <w:rPr>
          <w:szCs w:val="20"/>
          <w:lang w:eastAsia="en-GB"/>
        </w:rPr>
        <w:t>; or</w:t>
      </w:r>
    </w:p>
    <w:p w14:paraId="22C85AEB" w14:textId="77777777" w:rsidR="002F070F" w:rsidRPr="00BD6A2F" w:rsidRDefault="002F070F" w:rsidP="002F070F">
      <w:pPr>
        <w:pStyle w:val="FSCtPara"/>
      </w:pPr>
      <w:r>
        <w:tab/>
        <w:t xml:space="preserve">(d) </w:t>
      </w:r>
      <w:r>
        <w:tab/>
      </w:r>
      <w:r w:rsidRPr="00D80068">
        <w:t>energy content on a percentage daily intake basis in addition to an amount shown in kilojoules.”</w:t>
      </w:r>
    </w:p>
    <w:p w14:paraId="7B549BB8" w14:textId="2DC71834" w:rsidR="00F63C2C" w:rsidRDefault="002F070F" w:rsidP="002F070F">
      <w:pPr>
        <w:pStyle w:val="FSCtMain"/>
      </w:pPr>
      <w:r w:rsidRPr="0023531E">
        <w:rPr>
          <w:b/>
        </w:rPr>
        <w:t>[2]</w:t>
      </w:r>
      <w:r w:rsidRPr="0023531E">
        <w:rPr>
          <w:b/>
        </w:rPr>
        <w:tab/>
        <w:t>Standard 1.2.7</w:t>
      </w:r>
      <w:r w:rsidRPr="00D80068">
        <w:t xml:space="preserve"> is varied by </w:t>
      </w:r>
      <w:r w:rsidR="00F63C2C">
        <w:br w:type="page"/>
      </w:r>
    </w:p>
    <w:p w14:paraId="77E6E471" w14:textId="77777777" w:rsidR="002F070F" w:rsidRDefault="002F070F" w:rsidP="002F070F">
      <w:pPr>
        <w:pStyle w:val="FSCtMain"/>
      </w:pPr>
      <w:r>
        <w:lastRenderedPageBreak/>
        <w:t>[2.1]</w:t>
      </w:r>
      <w:r>
        <w:tab/>
      </w:r>
      <w:r w:rsidRPr="00D80068">
        <w:t xml:space="preserve">inserting </w:t>
      </w:r>
      <w:r>
        <w:t>after section 1.2.7</w:t>
      </w:r>
      <w:r w:rsidRPr="00D80068">
        <w:t>—</w:t>
      </w:r>
      <w:r>
        <w:t>3</w:t>
      </w:r>
    </w:p>
    <w:p w14:paraId="6FD6B3F7" w14:textId="77777777" w:rsidR="002F070F" w:rsidRDefault="002F070F" w:rsidP="002F070F">
      <w:pPr>
        <w:pStyle w:val="FSCnMain"/>
        <w:rPr>
          <w:sz w:val="20"/>
          <w:szCs w:val="20"/>
        </w:rPr>
      </w:pPr>
      <w:r w:rsidRPr="001D1563">
        <w:tab/>
      </w:r>
      <w:r>
        <w:t>“</w:t>
      </w:r>
      <w:r w:rsidRPr="001D1563">
        <w:rPr>
          <w:b/>
          <w:i/>
        </w:rPr>
        <w:t>Note</w:t>
      </w:r>
      <w:r w:rsidRPr="001D1563">
        <w:tab/>
      </w:r>
      <w:r w:rsidRPr="00F67967">
        <w:rPr>
          <w:rFonts w:eastAsiaTheme="minorHAnsi"/>
        </w:rPr>
        <w:t xml:space="preserve">Standard 1.2.8 </w:t>
      </w:r>
      <w:r w:rsidRPr="00F67967">
        <w:t>may prescribe additional labelling requirement</w:t>
      </w:r>
      <w:r>
        <w:t xml:space="preserve">s </w:t>
      </w:r>
      <w:r w:rsidRPr="00F67967">
        <w:t xml:space="preserve">for claims regulated </w:t>
      </w:r>
      <w:r>
        <w:t>by this Standard</w:t>
      </w:r>
      <w:r w:rsidRPr="001D1563">
        <w:t>.</w:t>
      </w:r>
      <w:r>
        <w:rPr>
          <w:sz w:val="20"/>
          <w:szCs w:val="20"/>
        </w:rPr>
        <w:t>”</w:t>
      </w:r>
    </w:p>
    <w:p w14:paraId="1AC300BF" w14:textId="77777777" w:rsidR="002F070F" w:rsidRPr="00D80068" w:rsidRDefault="002F070F" w:rsidP="002F070F">
      <w:pPr>
        <w:pStyle w:val="FSCtMain"/>
        <w:rPr>
          <w:rFonts w:eastAsia="Calibri"/>
        </w:rPr>
      </w:pPr>
      <w:r>
        <w:t>[2.2]</w:t>
      </w:r>
      <w:r>
        <w:tab/>
      </w:r>
      <w:r w:rsidRPr="00D80068">
        <w:t>omitting paragraph 1.2.7—6(c)</w:t>
      </w:r>
      <w:r>
        <w:t xml:space="preserve"> and</w:t>
      </w:r>
      <w:r w:rsidRPr="00D80068">
        <w:t xml:space="preserve"> substituting</w:t>
      </w:r>
    </w:p>
    <w:p w14:paraId="46005629" w14:textId="77777777" w:rsidR="002F070F" w:rsidRDefault="002F070F" w:rsidP="002F070F">
      <w:pPr>
        <w:pStyle w:val="FSCtPara"/>
        <w:rPr>
          <w:rFonts w:eastAsia="Calibri"/>
          <w:szCs w:val="20"/>
        </w:rPr>
      </w:pPr>
      <w:r>
        <w:tab/>
        <w:t>“(c)</w:t>
      </w:r>
      <w:r>
        <w:tab/>
      </w:r>
      <w:r w:rsidRPr="00D80068">
        <w:rPr>
          <w:rFonts w:eastAsia="Calibri"/>
          <w:szCs w:val="20"/>
        </w:rPr>
        <w:t>a declaration that is required by an application Act; or</w:t>
      </w:r>
    </w:p>
    <w:p w14:paraId="15F63445" w14:textId="77777777" w:rsidR="002F070F" w:rsidRPr="00BD6A2F" w:rsidRDefault="002F070F" w:rsidP="002F070F">
      <w:pPr>
        <w:pStyle w:val="FSCtPara"/>
      </w:pPr>
      <w:r>
        <w:rPr>
          <w:rFonts w:eastAsia="Calibri"/>
          <w:szCs w:val="20"/>
        </w:rPr>
        <w:tab/>
        <w:t>(d)</w:t>
      </w:r>
      <w:r>
        <w:rPr>
          <w:rFonts w:eastAsia="Calibri"/>
          <w:szCs w:val="20"/>
        </w:rPr>
        <w:tab/>
      </w:r>
      <w:r w:rsidRPr="00D80068">
        <w:rPr>
          <w:rFonts w:eastAsia="Calibri"/>
          <w:szCs w:val="20"/>
        </w:rPr>
        <w:t>a permitted Health Star Rating symbol</w:t>
      </w:r>
      <w:r w:rsidRPr="00D80068">
        <w:rPr>
          <w:szCs w:val="20"/>
        </w:rPr>
        <w:t>.</w:t>
      </w:r>
      <w:r w:rsidRPr="00D80068">
        <w:t>”</w:t>
      </w:r>
    </w:p>
    <w:p w14:paraId="213FF896" w14:textId="77777777" w:rsidR="002F070F" w:rsidRPr="00D80068" w:rsidRDefault="002F070F" w:rsidP="002F070F">
      <w:pPr>
        <w:pStyle w:val="FSCtMain"/>
      </w:pPr>
      <w:r w:rsidRPr="0023531E">
        <w:rPr>
          <w:b/>
        </w:rPr>
        <w:t>[3]</w:t>
      </w:r>
      <w:r w:rsidRPr="0023531E">
        <w:rPr>
          <w:b/>
        </w:rPr>
        <w:tab/>
        <w:t>Standard 1.2.8</w:t>
      </w:r>
      <w:r w:rsidRPr="00D80068">
        <w:t xml:space="preserve"> is varied by </w:t>
      </w:r>
    </w:p>
    <w:p w14:paraId="2E304AD7" w14:textId="77777777" w:rsidR="002F070F" w:rsidRPr="00D80068" w:rsidRDefault="002F070F" w:rsidP="002F070F">
      <w:pPr>
        <w:pStyle w:val="FSCtMain"/>
        <w:ind w:left="0" w:firstLine="0"/>
      </w:pPr>
      <w:r w:rsidRPr="00D80068">
        <w:t>[3.1]</w:t>
      </w:r>
      <w:r w:rsidRPr="00D80068">
        <w:tab/>
        <w:t>omitting “infant formula products” from section 1.2.8—3</w:t>
      </w:r>
      <w:r>
        <w:t xml:space="preserve"> and</w:t>
      </w:r>
      <w:r w:rsidRPr="00D80068">
        <w:t xml:space="preserve"> substituting “infant formula products or </w:t>
      </w:r>
      <w:r w:rsidRPr="00D80068">
        <w:rPr>
          <w:rFonts w:eastAsia="Calibri"/>
        </w:rPr>
        <w:t>a Permitted Health Star Rating symbol.”</w:t>
      </w:r>
    </w:p>
    <w:p w14:paraId="0DB3E45D" w14:textId="77777777" w:rsidR="002F070F" w:rsidRPr="00D80068" w:rsidRDefault="002F070F" w:rsidP="002F070F">
      <w:pPr>
        <w:pStyle w:val="FSCtMain"/>
      </w:pPr>
      <w:r w:rsidRPr="00D80068">
        <w:t>[3.2]</w:t>
      </w:r>
      <w:r w:rsidRPr="00D80068">
        <w:tab/>
        <w:t xml:space="preserve">inserting after </w:t>
      </w:r>
      <w:r>
        <w:t>sub</w:t>
      </w:r>
      <w:r w:rsidRPr="00D80068">
        <w:t>section 1.2.8—6(10)</w:t>
      </w:r>
    </w:p>
    <w:p w14:paraId="494C777C" w14:textId="77777777" w:rsidR="002F070F" w:rsidRPr="00D80068" w:rsidRDefault="002F070F" w:rsidP="002F070F">
      <w:pPr>
        <w:pStyle w:val="FSCh6Subsec"/>
      </w:pPr>
      <w:r w:rsidRPr="00D80068">
        <w:t>“Claims about lactose</w:t>
      </w:r>
    </w:p>
    <w:p w14:paraId="1590B6A0" w14:textId="77777777" w:rsidR="002F070F" w:rsidRPr="00D80068" w:rsidRDefault="002F070F" w:rsidP="002F070F">
      <w:pPr>
        <w:pStyle w:val="FSCtMain"/>
      </w:pPr>
      <w:r>
        <w:tab/>
      </w:r>
      <w:r w:rsidRPr="00D80068">
        <w:t>(11)</w:t>
      </w:r>
      <w:r w:rsidRPr="00D80068">
        <w:tab/>
        <w:t>If a *claim requiring nutrition information is made in relation to lactose, a nutrition information panel must include a declaration of the average quantity of galactose in accordance with section S12—3.</w:t>
      </w:r>
    </w:p>
    <w:p w14:paraId="6BBAE526" w14:textId="77777777" w:rsidR="002F070F" w:rsidRPr="00D80068" w:rsidRDefault="002F070F" w:rsidP="002F070F">
      <w:pPr>
        <w:pStyle w:val="FSCh6Subsec"/>
      </w:pPr>
      <w:r w:rsidRPr="00D80068">
        <w:t xml:space="preserve">Claims about salt or sodium </w:t>
      </w:r>
    </w:p>
    <w:p w14:paraId="7BF5D884" w14:textId="77777777" w:rsidR="002F070F" w:rsidRPr="00D80068" w:rsidRDefault="002F070F" w:rsidP="002F070F">
      <w:pPr>
        <w:pStyle w:val="FSCtMain"/>
      </w:pPr>
      <w:r>
        <w:tab/>
      </w:r>
      <w:r w:rsidRPr="00D80068">
        <w:t>(12)</w:t>
      </w:r>
      <w:r w:rsidRPr="00D80068">
        <w:tab/>
        <w:t>If a *claim requiring nutrition information is made in relation to salt or sodium, the nutrition information panel must include a declaration of the average quantity of potassium in accordance with section S12—3</w:t>
      </w:r>
      <w:r>
        <w:t>.</w:t>
      </w:r>
    </w:p>
    <w:p w14:paraId="21802795" w14:textId="77777777" w:rsidR="002F070F" w:rsidRPr="00D80068" w:rsidRDefault="002F070F" w:rsidP="002F070F">
      <w:pPr>
        <w:pStyle w:val="FSCh6Subsec"/>
      </w:pPr>
      <w:r w:rsidRPr="00D80068">
        <w:t>Claims about omega-3 fatty acids</w:t>
      </w:r>
    </w:p>
    <w:p w14:paraId="4C7B3AB2" w14:textId="77777777" w:rsidR="002F070F" w:rsidRPr="00D80068" w:rsidRDefault="002F070F" w:rsidP="002F070F">
      <w:pPr>
        <w:pStyle w:val="FSCtMain"/>
      </w:pPr>
      <w:r>
        <w:tab/>
      </w:r>
      <w:r w:rsidRPr="00D80068">
        <w:t>(13)</w:t>
      </w:r>
      <w:r w:rsidRPr="00D80068">
        <w:tab/>
        <w:t>If a *claim requiring nutrition information is made in relation to omega-3 fatty acids, the nutrition information panel must include declarations of each of the following in accordance with section S12—3</w:t>
      </w:r>
      <w:r>
        <w:t>:</w:t>
      </w:r>
    </w:p>
    <w:p w14:paraId="2E87A804" w14:textId="77777777" w:rsidR="002F070F" w:rsidRDefault="002F070F" w:rsidP="002F070F">
      <w:pPr>
        <w:pStyle w:val="FSCtPara"/>
      </w:pPr>
      <w:r>
        <w:rPr>
          <w:szCs w:val="20"/>
        </w:rPr>
        <w:tab/>
        <w:t>(a)</w:t>
      </w:r>
      <w:r>
        <w:rPr>
          <w:szCs w:val="20"/>
        </w:rPr>
        <w:tab/>
      </w:r>
      <w:r w:rsidRPr="00D80068">
        <w:t>the average quantity of each type of omega-3 fatty acids (</w:t>
      </w:r>
      <w:r w:rsidRPr="00D80068">
        <w:rPr>
          <w:rFonts w:eastAsia="Calibri"/>
        </w:rPr>
        <w:t>that is, alpha</w:t>
      </w:r>
      <w:r w:rsidRPr="00D80068">
        <w:rPr>
          <w:rFonts w:eastAsia="Calibri"/>
        </w:rPr>
        <w:noBreakHyphen/>
        <w:t xml:space="preserve">linolenic acid, docosahexaenoic acid, eicosapentaenoic acid or a combination of these); </w:t>
      </w:r>
      <w:r w:rsidRPr="00D80068">
        <w:t>and</w:t>
      </w:r>
    </w:p>
    <w:p w14:paraId="254563C4" w14:textId="77777777" w:rsidR="002F070F" w:rsidRPr="00D80068" w:rsidRDefault="002F070F" w:rsidP="002F070F">
      <w:pPr>
        <w:pStyle w:val="FSCtPara"/>
      </w:pPr>
      <w:r>
        <w:tab/>
        <w:t>(b)</w:t>
      </w:r>
      <w:r>
        <w:tab/>
      </w:r>
      <w:r w:rsidRPr="00D80068">
        <w:t>the average quantity of the total of omega-3 fatty acids.”</w:t>
      </w:r>
    </w:p>
    <w:p w14:paraId="72112686" w14:textId="2285DAD0" w:rsidR="002F070F" w:rsidRPr="00D80068" w:rsidRDefault="002F070F" w:rsidP="002F070F">
      <w:pPr>
        <w:pStyle w:val="FSCtMain"/>
        <w:ind w:left="0" w:firstLine="0"/>
      </w:pPr>
      <w:r w:rsidRPr="00D80068">
        <w:rPr>
          <w:szCs w:val="20"/>
        </w:rPr>
        <w:t>[3.3]</w:t>
      </w:r>
      <w:r w:rsidRPr="00D80068">
        <w:rPr>
          <w:szCs w:val="20"/>
        </w:rPr>
        <w:tab/>
      </w:r>
      <w:r w:rsidRPr="00D80068">
        <w:t>omit</w:t>
      </w:r>
      <w:r w:rsidR="0075266D">
        <w:t>ting</w:t>
      </w:r>
      <w:r w:rsidRPr="00D80068">
        <w:t xml:space="preserve"> from paragraph 1.2.8—14(1)(c) “a declaration of unavailable carbohydrate (not including dietary fibre)”</w:t>
      </w:r>
      <w:r>
        <w:t xml:space="preserve"> and </w:t>
      </w:r>
      <w:r w:rsidRPr="00D80068">
        <w:t>substituting “a declaration of the average quantity of unavailable carbohydrate (not including dietary fibre) per serving of the food”</w:t>
      </w:r>
    </w:p>
    <w:p w14:paraId="16FFD818" w14:textId="6A17041F" w:rsidR="002F070F" w:rsidRPr="00D80068" w:rsidRDefault="002F070F" w:rsidP="00CB5D78">
      <w:pPr>
        <w:pStyle w:val="FSCtMain"/>
        <w:ind w:left="0" w:firstLine="0"/>
      </w:pPr>
      <w:r w:rsidRPr="00D80068">
        <w:t>[3.</w:t>
      </w:r>
      <w:r>
        <w:t>4</w:t>
      </w:r>
      <w:r w:rsidRPr="00D80068">
        <w:t>]</w:t>
      </w:r>
      <w:r w:rsidRPr="00D80068">
        <w:tab/>
        <w:t>omit</w:t>
      </w:r>
      <w:r w:rsidR="0075266D">
        <w:t>ting</w:t>
      </w:r>
      <w:r w:rsidRPr="00D80068">
        <w:t xml:space="preserve"> from paragraph 1.2.8—14(1)(c) “the presence in the food”</w:t>
      </w:r>
      <w:r>
        <w:t xml:space="preserve"> and</w:t>
      </w:r>
      <w:r w:rsidRPr="00D80068">
        <w:t xml:space="preserve"> substituting “the average quantity per serving of the food”</w:t>
      </w:r>
    </w:p>
    <w:p w14:paraId="7011DC78" w14:textId="77777777" w:rsidR="002F070F" w:rsidRPr="00D80068" w:rsidRDefault="002F070F" w:rsidP="002F070F">
      <w:pPr>
        <w:pStyle w:val="FSCtMain"/>
      </w:pPr>
      <w:r w:rsidRPr="00D80068">
        <w:t>[3.</w:t>
      </w:r>
      <w:r>
        <w:t>5</w:t>
      </w:r>
      <w:r w:rsidRPr="00D80068">
        <w:t>]</w:t>
      </w:r>
      <w:r w:rsidRPr="00D80068">
        <w:tab/>
        <w:t>omitting “‘metric cup’,” from subsection 1.2.8—14(2)</w:t>
      </w:r>
    </w:p>
    <w:p w14:paraId="7843D9EE" w14:textId="77777777" w:rsidR="002F070F" w:rsidRPr="00D80068" w:rsidRDefault="002F070F" w:rsidP="002F070F">
      <w:pPr>
        <w:pStyle w:val="FSCtMain"/>
      </w:pPr>
      <w:r w:rsidRPr="00D80068">
        <w:rPr>
          <w:b/>
        </w:rPr>
        <w:t>[4]</w:t>
      </w:r>
      <w:r w:rsidRPr="00D80068">
        <w:rPr>
          <w:b/>
        </w:rPr>
        <w:tab/>
        <w:t>Schedule 4</w:t>
      </w:r>
      <w:r w:rsidRPr="00D80068">
        <w:t xml:space="preserve"> is varied by </w:t>
      </w:r>
    </w:p>
    <w:p w14:paraId="5E0C86B4" w14:textId="77777777" w:rsidR="002F070F" w:rsidRPr="00D80068" w:rsidRDefault="002F070F" w:rsidP="002F070F">
      <w:pPr>
        <w:pStyle w:val="FSCtMain"/>
        <w:ind w:left="0" w:firstLine="0"/>
      </w:pPr>
      <w:r w:rsidRPr="00D80068">
        <w:t>[4.1]</w:t>
      </w:r>
      <w:r w:rsidRPr="00D80068">
        <w:tab/>
        <w:t>omitting from the</w:t>
      </w:r>
      <w:r>
        <w:t xml:space="preserve"> entry for lactose in the</w:t>
      </w:r>
      <w:r w:rsidRPr="00D80068">
        <w:t xml:space="preserve"> table to section S4—3 “The nutrition information panel indicates the lactose and galactose content.” </w:t>
      </w:r>
    </w:p>
    <w:p w14:paraId="2198A25A" w14:textId="77777777" w:rsidR="002F070F" w:rsidRPr="00D80068" w:rsidRDefault="002F070F" w:rsidP="002F070F">
      <w:pPr>
        <w:pStyle w:val="FSCtMain"/>
        <w:ind w:left="0" w:firstLine="0"/>
        <w:rPr>
          <w:rFonts w:eastAsia="Calibri"/>
        </w:rPr>
      </w:pPr>
      <w:r w:rsidRPr="00D80068">
        <w:t xml:space="preserve">[4.2] </w:t>
      </w:r>
      <w:r>
        <w:tab/>
      </w:r>
      <w:r w:rsidRPr="00D80068">
        <w:t>omitting from the</w:t>
      </w:r>
      <w:r>
        <w:t xml:space="preserve"> entry for Salt or sodium in the</w:t>
      </w:r>
      <w:r w:rsidRPr="00D80068">
        <w:t xml:space="preserve"> table to section S4—3 “</w:t>
      </w:r>
      <w:r w:rsidRPr="00D80068">
        <w:rPr>
          <w:rFonts w:eastAsia="Calibri"/>
        </w:rPr>
        <w:t>The nutrition information panel indicates the potassium content.”</w:t>
      </w:r>
    </w:p>
    <w:p w14:paraId="77990CF1" w14:textId="77777777" w:rsidR="002F070F" w:rsidRPr="00D80068" w:rsidRDefault="002F070F" w:rsidP="002F070F">
      <w:pPr>
        <w:pStyle w:val="FSCtMain"/>
        <w:rPr>
          <w:rFonts w:eastAsia="Calibri"/>
        </w:rPr>
      </w:pPr>
      <w:r w:rsidRPr="00D80068">
        <w:rPr>
          <w:rFonts w:eastAsia="Calibri"/>
        </w:rPr>
        <w:t xml:space="preserve">[4.3] </w:t>
      </w:r>
      <w:r>
        <w:rPr>
          <w:rFonts w:eastAsia="Calibri"/>
        </w:rPr>
        <w:tab/>
      </w:r>
      <w:r w:rsidRPr="00D80068">
        <w:rPr>
          <w:rFonts w:eastAsia="Calibri"/>
        </w:rPr>
        <w:t>omitting from the table to section S4—3</w:t>
      </w:r>
    </w:p>
    <w:p w14:paraId="459266DF" w14:textId="77777777" w:rsidR="002F070F" w:rsidRDefault="002F070F" w:rsidP="002F070F">
      <w:pPr>
        <w:rPr>
          <w:rFonts w:eastAsia="Calibri" w:cs="Arial"/>
          <w:sz w:val="20"/>
          <w:szCs w:val="20"/>
          <w:lang w:eastAsia="en-AU"/>
        </w:rPr>
      </w:pPr>
      <w:r>
        <w:rPr>
          <w:rFonts w:eastAsia="Calibri" w:cs="Arial"/>
          <w:sz w:val="20"/>
          <w:szCs w:val="20"/>
          <w:lang w:eastAsia="en-AU"/>
        </w:rPr>
        <w:br w:type="page"/>
      </w:r>
    </w:p>
    <w:p w14:paraId="286B45D6" w14:textId="77777777" w:rsidR="002F070F" w:rsidRPr="00D80068" w:rsidRDefault="002F070F" w:rsidP="002F070F">
      <w:pPr>
        <w:keepNext/>
        <w:rPr>
          <w:rFonts w:eastAsia="Calibri" w:cs="Arial"/>
          <w:sz w:val="20"/>
          <w:szCs w:val="20"/>
          <w:lang w:eastAsia="en-AU"/>
        </w:rPr>
      </w:pPr>
      <w:r w:rsidRPr="00D80068">
        <w:rPr>
          <w:rFonts w:eastAsia="Calibri" w:cs="Arial"/>
          <w:sz w:val="20"/>
          <w:szCs w:val="20"/>
          <w:lang w:eastAsia="en-AU"/>
        </w:rPr>
        <w:lastRenderedPageBreak/>
        <w:t>“</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1"/>
        <w:gridCol w:w="2819"/>
        <w:gridCol w:w="1560"/>
        <w:gridCol w:w="3152"/>
      </w:tblGrid>
      <w:tr w:rsidR="002F070F" w:rsidRPr="00D80068" w14:paraId="52C0E9F1" w14:textId="77777777" w:rsidTr="00606FA0">
        <w:trPr>
          <w:cantSplit/>
          <w:trHeight w:val="2481"/>
        </w:trPr>
        <w:tc>
          <w:tcPr>
            <w:tcW w:w="1547" w:type="dxa"/>
            <w:vMerge w:val="restart"/>
            <w:tcBorders>
              <w:top w:val="single" w:sz="6" w:space="0" w:color="auto"/>
              <w:left w:val="nil"/>
              <w:bottom w:val="single" w:sz="6" w:space="0" w:color="auto"/>
              <w:right w:val="nil"/>
            </w:tcBorders>
            <w:hideMark/>
          </w:tcPr>
          <w:p w14:paraId="3662DB2A" w14:textId="77777777" w:rsidR="002F070F" w:rsidRPr="00D80068" w:rsidRDefault="002F070F" w:rsidP="00606FA0">
            <w:pPr>
              <w:keepLines/>
              <w:widowControl/>
              <w:spacing w:before="60" w:after="60"/>
              <w:rPr>
                <w:rFonts w:cs="Arial"/>
                <w:sz w:val="18"/>
                <w:szCs w:val="22"/>
                <w:lang w:eastAsia="en-AU" w:bidi="ar-SA"/>
              </w:rPr>
            </w:pPr>
            <w:r w:rsidRPr="00D80068">
              <w:rPr>
                <w:rFonts w:cs="Arial"/>
                <w:sz w:val="18"/>
                <w:szCs w:val="22"/>
                <w:lang w:eastAsia="en-AU" w:bidi="ar-SA"/>
              </w:rPr>
              <w:t>Omega-3 fatty acids</w:t>
            </w:r>
          </w:p>
        </w:tc>
        <w:tc>
          <w:tcPr>
            <w:tcW w:w="2829" w:type="dxa"/>
            <w:vMerge w:val="restart"/>
            <w:tcBorders>
              <w:top w:val="single" w:sz="6" w:space="0" w:color="auto"/>
              <w:left w:val="nil"/>
              <w:bottom w:val="single" w:sz="6" w:space="0" w:color="auto"/>
              <w:right w:val="nil"/>
            </w:tcBorders>
            <w:hideMark/>
          </w:tcPr>
          <w:p w14:paraId="097EAB7C"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meets the conditions for a nutrition content claim about omega fatty acids; and</w:t>
            </w:r>
          </w:p>
          <w:p w14:paraId="5B8563A0"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contains no less than:</w:t>
            </w:r>
          </w:p>
          <w:p w14:paraId="274BD814" w14:textId="77777777" w:rsidR="002F070F" w:rsidRPr="00D80068" w:rsidRDefault="002F070F" w:rsidP="00606FA0">
            <w:pPr>
              <w:pStyle w:val="FSCtblASubpara"/>
            </w:pPr>
            <w:r w:rsidRPr="00D80068">
              <w:t>(i)</w:t>
            </w:r>
            <w:r w:rsidRPr="00D80068">
              <w:tab/>
              <w:t>200 mg alpha-linolenic acid per serving; or</w:t>
            </w:r>
          </w:p>
          <w:p w14:paraId="23AD40C6" w14:textId="77777777" w:rsidR="002F070F" w:rsidRPr="00D80068" w:rsidRDefault="002F070F" w:rsidP="00606FA0">
            <w:pPr>
              <w:pStyle w:val="FSCtblASubpara"/>
            </w:pPr>
            <w:r w:rsidRPr="00D80068">
              <w:t>(ii)</w:t>
            </w:r>
            <w:r w:rsidRPr="00D80068">
              <w:tab/>
              <w:t xml:space="preserve">30 mg total eicosapentaenoic acid and docosahexaenoic acid per serving; and </w:t>
            </w:r>
          </w:p>
          <w:p w14:paraId="489AA6AC"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(c)</w:t>
            </w:r>
            <w:r w:rsidRPr="00D80068">
              <w:rPr>
                <w:rFonts w:cs="Arial"/>
                <w:sz w:val="18"/>
                <w:szCs w:val="22"/>
                <w:lang w:eastAsia="en-AU" w:bidi="ar-SA"/>
              </w:rPr>
              <w:tab/>
              <w:t>other than for fish or fish products with no added *saturated fatty acids, the food contains:</w:t>
            </w:r>
          </w:p>
          <w:p w14:paraId="6FF8FDE8" w14:textId="77777777" w:rsidR="002F070F" w:rsidRPr="00D80068" w:rsidRDefault="002F070F" w:rsidP="00606FA0">
            <w:pPr>
              <w:pStyle w:val="FSCtblASubpara"/>
            </w:pPr>
            <w:r w:rsidRPr="00D80068">
              <w:t>(i)</w:t>
            </w:r>
            <w:r w:rsidRPr="00D80068">
              <w:tab/>
              <w:t>as a proportion of the total fatty acid content, no more than 28% saturated fatty acids and trans fatty acids; or</w:t>
            </w:r>
          </w:p>
          <w:p w14:paraId="3E319CED" w14:textId="77777777" w:rsidR="002F070F" w:rsidRPr="00D80068" w:rsidRDefault="002F070F" w:rsidP="00606FA0">
            <w:pPr>
              <w:pStyle w:val="FSCtblASubpara"/>
            </w:pPr>
            <w:r w:rsidRPr="00D80068">
              <w:t>(ii)</w:t>
            </w:r>
            <w:r w:rsidRPr="00D80068">
              <w:tab/>
              <w:t>no more saturated fatty acids and *trans fatty acids than 5 g per 100 g; and</w:t>
            </w:r>
          </w:p>
          <w:p w14:paraId="105DFC4E"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(d)</w:t>
            </w:r>
            <w:r w:rsidRPr="00D80068">
              <w:rPr>
                <w:rFonts w:cs="Arial"/>
                <w:sz w:val="18"/>
                <w:szCs w:val="22"/>
                <w:lang w:eastAsia="en-AU" w:bidi="ar-SA"/>
              </w:rPr>
              <w:tab/>
              <w:t>the nutrition information panel indicates the type and amount of omega-3 fatty acids, that is, alpha-linolenic acid, docosahexaenoic acid or eicosapentaenoic acid, or a combination of the above.</w:t>
            </w:r>
          </w:p>
        </w:tc>
        <w:tc>
          <w:tcPr>
            <w:tcW w:w="1565" w:type="dxa"/>
            <w:tcBorders>
              <w:top w:val="single" w:sz="6" w:space="0" w:color="auto"/>
              <w:left w:val="nil"/>
              <w:bottom w:val="nil"/>
              <w:right w:val="nil"/>
            </w:tcBorders>
            <w:hideMark/>
          </w:tcPr>
          <w:p w14:paraId="00A4E567" w14:textId="77777777" w:rsidR="002F070F" w:rsidRPr="00D80068" w:rsidRDefault="002F070F" w:rsidP="00606FA0">
            <w:pPr>
              <w:keepLines/>
              <w:widowControl/>
              <w:spacing w:before="60" w:after="60"/>
              <w:rPr>
                <w:rFonts w:cs="Arial"/>
                <w:sz w:val="18"/>
                <w:szCs w:val="22"/>
                <w:lang w:eastAsia="en-AU" w:bidi="ar-SA"/>
              </w:rPr>
            </w:pPr>
            <w:r w:rsidRPr="00D80068">
              <w:rPr>
                <w:rFonts w:cs="Arial"/>
                <w:sz w:val="18"/>
                <w:szCs w:val="22"/>
                <w:lang w:eastAsia="en-AU" w:bidi="ar-SA"/>
              </w:rPr>
              <w:t>Good Source</w:t>
            </w:r>
          </w:p>
        </w:tc>
        <w:tc>
          <w:tcPr>
            <w:tcW w:w="3163" w:type="dxa"/>
            <w:tcBorders>
              <w:top w:val="single" w:sz="6" w:space="0" w:color="auto"/>
              <w:left w:val="nil"/>
              <w:bottom w:val="nil"/>
              <w:right w:val="nil"/>
            </w:tcBorders>
            <w:hideMark/>
          </w:tcPr>
          <w:p w14:paraId="51014236"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no less than 60 mg total eicosapentaenoic acid and docosahexaenoic acid/serving; and</w:t>
            </w:r>
          </w:p>
          <w:p w14:paraId="3855E863"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may contain less than 200 mg alpha-linolenic acid/serving.</w:t>
            </w:r>
          </w:p>
        </w:tc>
      </w:tr>
      <w:tr w:rsidR="002F070F" w:rsidRPr="00D80068" w14:paraId="6C5028AD" w14:textId="77777777" w:rsidTr="00606FA0">
        <w:trPr>
          <w:trHeight w:val="3247"/>
        </w:trPr>
        <w:tc>
          <w:tcPr>
            <w:tcW w:w="1547" w:type="dxa"/>
            <w:vMerge/>
            <w:tcBorders>
              <w:top w:val="single" w:sz="6" w:space="0" w:color="auto"/>
              <w:left w:val="nil"/>
              <w:bottom w:val="single" w:sz="6" w:space="0" w:color="auto"/>
              <w:right w:val="nil"/>
            </w:tcBorders>
            <w:vAlign w:val="center"/>
            <w:hideMark/>
          </w:tcPr>
          <w:p w14:paraId="4DDBA36F" w14:textId="77777777" w:rsidR="002F070F" w:rsidRPr="00D80068" w:rsidRDefault="002F070F" w:rsidP="00606FA0">
            <w:pPr>
              <w:rPr>
                <w:rFonts w:cs="Arial"/>
                <w:sz w:val="18"/>
                <w:szCs w:val="22"/>
                <w:lang w:eastAsia="en-AU"/>
              </w:rPr>
            </w:pPr>
          </w:p>
        </w:tc>
        <w:tc>
          <w:tcPr>
            <w:tcW w:w="2829" w:type="dxa"/>
            <w:vMerge/>
            <w:tcBorders>
              <w:top w:val="single" w:sz="6" w:space="0" w:color="auto"/>
              <w:left w:val="nil"/>
              <w:bottom w:val="single" w:sz="6" w:space="0" w:color="auto"/>
              <w:right w:val="nil"/>
            </w:tcBorders>
            <w:vAlign w:val="center"/>
            <w:hideMark/>
          </w:tcPr>
          <w:p w14:paraId="7E19ADD7" w14:textId="77777777" w:rsidR="002F070F" w:rsidRPr="00D80068" w:rsidRDefault="002F070F" w:rsidP="00606FA0">
            <w:pPr>
              <w:rPr>
                <w:rFonts w:cs="Arial"/>
                <w:sz w:val="18"/>
                <w:szCs w:val="22"/>
                <w:lang w:eastAsia="en-AU"/>
              </w:rPr>
            </w:pPr>
          </w:p>
        </w:tc>
        <w:tc>
          <w:tcPr>
            <w:tcW w:w="1565" w:type="dxa"/>
            <w:tcBorders>
              <w:top w:val="nil"/>
              <w:left w:val="nil"/>
              <w:bottom w:val="single" w:sz="6" w:space="0" w:color="auto"/>
              <w:right w:val="nil"/>
            </w:tcBorders>
            <w:hideMark/>
          </w:tcPr>
          <w:p w14:paraId="3A2F0D1D" w14:textId="77777777" w:rsidR="002F070F" w:rsidRPr="00D80068" w:rsidRDefault="002F070F" w:rsidP="00606FA0">
            <w:pPr>
              <w:keepLines/>
              <w:widowControl/>
              <w:spacing w:before="60" w:after="60"/>
              <w:rPr>
                <w:rFonts w:cs="Arial"/>
                <w:sz w:val="18"/>
                <w:szCs w:val="22"/>
                <w:lang w:eastAsia="en-AU" w:bidi="ar-SA"/>
              </w:rPr>
            </w:pPr>
            <w:r w:rsidRPr="00D80068">
              <w:rPr>
                <w:rFonts w:cs="Arial"/>
                <w:sz w:val="18"/>
                <w:szCs w:val="22"/>
                <w:lang w:eastAsia="en-AU" w:bidi="ar-SA"/>
              </w:rPr>
              <w:t>Increased</w:t>
            </w:r>
          </w:p>
        </w:tc>
        <w:tc>
          <w:tcPr>
            <w:tcW w:w="3163" w:type="dxa"/>
            <w:tcBorders>
              <w:top w:val="nil"/>
              <w:left w:val="nil"/>
              <w:bottom w:val="single" w:sz="6" w:space="0" w:color="auto"/>
              <w:right w:val="nil"/>
            </w:tcBorders>
            <w:hideMark/>
          </w:tcPr>
          <w:p w14:paraId="3A16DCB0"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at least 25% more omega-3 fatty acids than in the same amount of *reference food; and</w:t>
            </w:r>
          </w:p>
          <w:p w14:paraId="1A1D2CE6" w14:textId="77777777" w:rsidR="002F070F" w:rsidRPr="00D80068" w:rsidRDefault="002F070F" w:rsidP="00606FA0">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reference food meets the general claim conditions for a nutrition content claim about omega-3 fatty acids.</w:t>
            </w:r>
          </w:p>
        </w:tc>
      </w:tr>
    </w:tbl>
    <w:p w14:paraId="5A356CBB" w14:textId="77777777" w:rsidR="002F070F" w:rsidRPr="00D80068" w:rsidRDefault="002F070F" w:rsidP="002F070F">
      <w:pPr>
        <w:jc w:val="right"/>
        <w:rPr>
          <w:rFonts w:eastAsia="Calibri" w:cs="Arial"/>
          <w:sz w:val="20"/>
          <w:szCs w:val="20"/>
          <w:lang w:eastAsia="en-AU"/>
        </w:rPr>
      </w:pPr>
      <w:r w:rsidRPr="00D80068">
        <w:rPr>
          <w:rFonts w:eastAsia="Calibri" w:cs="Arial"/>
          <w:sz w:val="20"/>
          <w:szCs w:val="20"/>
          <w:lang w:eastAsia="en-AU"/>
        </w:rPr>
        <w:t>”</w:t>
      </w:r>
    </w:p>
    <w:p w14:paraId="4E9933C0" w14:textId="77777777" w:rsidR="002F070F" w:rsidRPr="00D80068" w:rsidRDefault="002F070F" w:rsidP="002F070F">
      <w:pPr>
        <w:jc w:val="right"/>
        <w:rPr>
          <w:rFonts w:eastAsia="Calibri" w:cs="Arial"/>
          <w:sz w:val="20"/>
          <w:szCs w:val="20"/>
          <w:lang w:eastAsia="en-AU"/>
        </w:rPr>
      </w:pPr>
    </w:p>
    <w:p w14:paraId="66632337" w14:textId="77777777" w:rsidR="002F070F" w:rsidRPr="00D80068" w:rsidRDefault="002F070F" w:rsidP="002F070F">
      <w:pPr>
        <w:rPr>
          <w:rFonts w:eastAsia="Calibri" w:cs="Arial"/>
          <w:sz w:val="20"/>
          <w:szCs w:val="20"/>
          <w:lang w:eastAsia="en-AU"/>
        </w:rPr>
      </w:pPr>
      <w:r w:rsidRPr="00D80068">
        <w:rPr>
          <w:rFonts w:eastAsia="Calibri" w:cs="Arial"/>
          <w:sz w:val="20"/>
          <w:szCs w:val="20"/>
          <w:lang w:eastAsia="en-AU"/>
        </w:rPr>
        <w:t>and substituting</w:t>
      </w:r>
    </w:p>
    <w:p w14:paraId="044AE65A" w14:textId="77777777" w:rsidR="002F070F" w:rsidRPr="00D80068" w:rsidRDefault="002F070F" w:rsidP="002F070F">
      <w:pPr>
        <w:rPr>
          <w:rFonts w:eastAsia="Calibri" w:cs="Arial"/>
          <w:sz w:val="20"/>
          <w:szCs w:val="20"/>
          <w:lang w:eastAsia="en-AU"/>
        </w:rPr>
      </w:pPr>
    </w:p>
    <w:p w14:paraId="4873B75A" w14:textId="77777777" w:rsidR="002F070F" w:rsidRDefault="002F070F" w:rsidP="002F070F">
      <w:pPr>
        <w:rPr>
          <w:rFonts w:eastAsia="Calibri" w:cs="Arial"/>
          <w:sz w:val="20"/>
          <w:szCs w:val="20"/>
          <w:lang w:eastAsia="en-AU"/>
        </w:rPr>
      </w:pPr>
      <w:r>
        <w:rPr>
          <w:rFonts w:eastAsia="Calibri" w:cs="Arial"/>
          <w:sz w:val="20"/>
          <w:szCs w:val="20"/>
          <w:lang w:eastAsia="en-AU"/>
        </w:rPr>
        <w:br w:type="page"/>
      </w:r>
    </w:p>
    <w:p w14:paraId="1A4DDB6D" w14:textId="77777777" w:rsidR="002F070F" w:rsidRPr="00D80068" w:rsidRDefault="002F070F" w:rsidP="002F070F">
      <w:pPr>
        <w:rPr>
          <w:rFonts w:eastAsia="Calibri" w:cs="Arial"/>
          <w:sz w:val="20"/>
          <w:szCs w:val="20"/>
          <w:lang w:eastAsia="en-AU"/>
        </w:rPr>
      </w:pPr>
      <w:r w:rsidRPr="00D80068">
        <w:rPr>
          <w:rFonts w:eastAsia="Calibri" w:cs="Arial"/>
          <w:sz w:val="20"/>
          <w:szCs w:val="20"/>
          <w:lang w:eastAsia="en-AU"/>
        </w:rPr>
        <w:lastRenderedPageBreak/>
        <w:t>“</w:t>
      </w:r>
    </w:p>
    <w:tbl>
      <w:tblPr>
        <w:tblW w:w="907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20"/>
        <w:gridCol w:w="1560"/>
        <w:gridCol w:w="3153"/>
      </w:tblGrid>
      <w:tr w:rsidR="002F070F" w:rsidRPr="00D80068" w14:paraId="420B7E71" w14:textId="77777777" w:rsidTr="00606FA0">
        <w:trPr>
          <w:cantSplit/>
          <w:trHeight w:val="2300"/>
        </w:trPr>
        <w:tc>
          <w:tcPr>
            <w:tcW w:w="1542" w:type="dxa"/>
            <w:vMerge w:val="restart"/>
            <w:tcBorders>
              <w:top w:val="single" w:sz="6" w:space="0" w:color="auto"/>
              <w:left w:val="nil"/>
              <w:bottom w:val="single" w:sz="6" w:space="0" w:color="auto"/>
              <w:right w:val="nil"/>
            </w:tcBorders>
            <w:hideMark/>
          </w:tcPr>
          <w:p w14:paraId="37E7B55F" w14:textId="77777777" w:rsidR="002F070F" w:rsidRPr="00D80068" w:rsidRDefault="002F070F" w:rsidP="00606FA0">
            <w:pPr>
              <w:pStyle w:val="FSCtblMain"/>
            </w:pPr>
            <w:r w:rsidRPr="00D80068">
              <w:t>Omega-3 fatty acids</w:t>
            </w:r>
          </w:p>
        </w:tc>
        <w:tc>
          <w:tcPr>
            <w:tcW w:w="2819" w:type="dxa"/>
            <w:vMerge w:val="restart"/>
            <w:tcBorders>
              <w:top w:val="single" w:sz="6" w:space="0" w:color="auto"/>
              <w:left w:val="nil"/>
              <w:bottom w:val="single" w:sz="6" w:space="0" w:color="auto"/>
              <w:right w:val="nil"/>
            </w:tcBorders>
            <w:hideMark/>
          </w:tcPr>
          <w:p w14:paraId="4F25D002" w14:textId="77777777" w:rsidR="002F070F" w:rsidRPr="00D80068" w:rsidRDefault="002F070F" w:rsidP="00606FA0">
            <w:pPr>
              <w:pStyle w:val="FSCtblPara"/>
            </w:pPr>
            <w:r w:rsidRPr="00D80068">
              <w:t>(a)</w:t>
            </w:r>
            <w:r w:rsidRPr="00D80068">
              <w:tab/>
              <w:t>The food meets the conditions for a nutrition content claim about omega fatty acids; and</w:t>
            </w:r>
          </w:p>
          <w:p w14:paraId="78A9B60A" w14:textId="77777777" w:rsidR="002F070F" w:rsidRPr="00D80068" w:rsidRDefault="002F070F" w:rsidP="00606FA0">
            <w:pPr>
              <w:pStyle w:val="FSCtblPara"/>
            </w:pPr>
            <w:r w:rsidRPr="00D80068">
              <w:t>(b)</w:t>
            </w:r>
            <w:r w:rsidRPr="00D80068">
              <w:tab/>
              <w:t>the food contains no less than:</w:t>
            </w:r>
          </w:p>
          <w:p w14:paraId="21B98B41" w14:textId="77777777" w:rsidR="002F070F" w:rsidRPr="00D80068" w:rsidRDefault="002F070F" w:rsidP="00606FA0">
            <w:pPr>
              <w:pStyle w:val="FSCtblSubpara"/>
            </w:pPr>
            <w:r w:rsidRPr="00D80068">
              <w:t>(i)</w:t>
            </w:r>
            <w:r w:rsidRPr="00D80068">
              <w:tab/>
              <w:t>200 mg alpha-linolenic acid per serving; or</w:t>
            </w:r>
          </w:p>
          <w:p w14:paraId="66200C8F" w14:textId="77777777" w:rsidR="002F070F" w:rsidRPr="00D80068" w:rsidRDefault="002F070F" w:rsidP="00606FA0">
            <w:pPr>
              <w:pStyle w:val="FSCtblSubpara"/>
            </w:pPr>
            <w:r w:rsidRPr="00D80068">
              <w:t>(ii)</w:t>
            </w:r>
            <w:r w:rsidRPr="00D80068">
              <w:tab/>
              <w:t xml:space="preserve">30 mg total eicosapentaenoic acid and docosahexaenoic acid per serving; and </w:t>
            </w:r>
          </w:p>
          <w:p w14:paraId="768EC2E1" w14:textId="77777777" w:rsidR="002F070F" w:rsidRPr="00D80068" w:rsidRDefault="002F070F" w:rsidP="00606FA0">
            <w:pPr>
              <w:pStyle w:val="FSCtblPara"/>
            </w:pPr>
            <w:r w:rsidRPr="00D80068">
              <w:t>(c)</w:t>
            </w:r>
            <w:r w:rsidRPr="00D80068">
              <w:tab/>
              <w:t>other than for fish or fish products with no added *saturated fatty acids, the food contains:</w:t>
            </w:r>
          </w:p>
          <w:p w14:paraId="5DD73862" w14:textId="77777777" w:rsidR="002F070F" w:rsidRPr="00D80068" w:rsidRDefault="002F070F" w:rsidP="00606FA0">
            <w:pPr>
              <w:pStyle w:val="FSCtblSubpara"/>
            </w:pPr>
            <w:r w:rsidRPr="00D80068">
              <w:t>(i)</w:t>
            </w:r>
            <w:r w:rsidRPr="00D80068">
              <w:tab/>
              <w:t>as a proportion of the total fatty acid content, no more than 28% saturated fatty acids and trans fatty acids; or</w:t>
            </w:r>
          </w:p>
          <w:p w14:paraId="249AF12D" w14:textId="77777777" w:rsidR="002F070F" w:rsidRPr="00D80068" w:rsidRDefault="002F070F" w:rsidP="00606FA0">
            <w:pPr>
              <w:pStyle w:val="FSCtblSubpara"/>
            </w:pPr>
            <w:r w:rsidRPr="00D80068">
              <w:t>(ii)</w:t>
            </w:r>
            <w:r w:rsidRPr="00D80068">
              <w:tab/>
              <w:t>no more saturated fatty acids and *trans fatty acids than 5 g per 100 g</w:t>
            </w:r>
          </w:p>
        </w:tc>
        <w:tc>
          <w:tcPr>
            <w:tcW w:w="1559" w:type="dxa"/>
            <w:tcBorders>
              <w:top w:val="single" w:sz="6" w:space="0" w:color="auto"/>
              <w:left w:val="nil"/>
              <w:bottom w:val="nil"/>
              <w:right w:val="nil"/>
            </w:tcBorders>
            <w:hideMark/>
          </w:tcPr>
          <w:p w14:paraId="67232290" w14:textId="77777777" w:rsidR="002F070F" w:rsidRPr="00D80068" w:rsidRDefault="002F070F" w:rsidP="00606FA0">
            <w:pPr>
              <w:pStyle w:val="FSCtblMain"/>
            </w:pPr>
            <w:r w:rsidRPr="00D80068">
              <w:t>Good Source</w:t>
            </w:r>
          </w:p>
        </w:tc>
        <w:tc>
          <w:tcPr>
            <w:tcW w:w="3152" w:type="dxa"/>
            <w:tcBorders>
              <w:top w:val="single" w:sz="6" w:space="0" w:color="auto"/>
              <w:left w:val="nil"/>
              <w:bottom w:val="nil"/>
              <w:right w:val="nil"/>
            </w:tcBorders>
            <w:hideMark/>
          </w:tcPr>
          <w:p w14:paraId="49F1D8A3" w14:textId="77777777" w:rsidR="002F070F" w:rsidRPr="00D80068" w:rsidRDefault="002F070F" w:rsidP="00606FA0">
            <w:pPr>
              <w:pStyle w:val="FSCtblPara"/>
            </w:pPr>
            <w:r w:rsidRPr="00D80068">
              <w:t>(a)</w:t>
            </w:r>
            <w:r w:rsidRPr="00D80068">
              <w:tab/>
              <w:t>The food contains no less than 60 mg total eicosapentaenoic acid and docosahexaenoic acid/serving; and</w:t>
            </w:r>
          </w:p>
          <w:p w14:paraId="5E10B563" w14:textId="77777777" w:rsidR="002F070F" w:rsidRPr="00D80068" w:rsidRDefault="002F070F" w:rsidP="00606FA0">
            <w:pPr>
              <w:pStyle w:val="FSCtblPara"/>
            </w:pPr>
            <w:r w:rsidRPr="00D80068">
              <w:t>(b)</w:t>
            </w:r>
            <w:r w:rsidRPr="00D80068">
              <w:tab/>
              <w:t>the food may contain less than 200 mg alpha-linolenic acid/serving.</w:t>
            </w:r>
          </w:p>
        </w:tc>
      </w:tr>
      <w:tr w:rsidR="002F070F" w:rsidRPr="00D80068" w14:paraId="2E5F087A" w14:textId="77777777" w:rsidTr="00606FA0">
        <w:trPr>
          <w:trHeight w:val="3010"/>
        </w:trPr>
        <w:tc>
          <w:tcPr>
            <w:tcW w:w="1542" w:type="dxa"/>
            <w:vMerge/>
            <w:tcBorders>
              <w:top w:val="single" w:sz="6" w:space="0" w:color="auto"/>
              <w:left w:val="nil"/>
              <w:bottom w:val="single" w:sz="6" w:space="0" w:color="auto"/>
              <w:right w:val="nil"/>
            </w:tcBorders>
            <w:vAlign w:val="center"/>
            <w:hideMark/>
          </w:tcPr>
          <w:p w14:paraId="4DFE88F8" w14:textId="77777777" w:rsidR="002F070F" w:rsidRPr="00D80068" w:rsidRDefault="002F070F" w:rsidP="00606FA0">
            <w:pPr>
              <w:rPr>
                <w:rFonts w:cs="Arial"/>
                <w:sz w:val="18"/>
                <w:szCs w:val="22"/>
                <w:lang w:eastAsia="en-AU"/>
              </w:rPr>
            </w:pPr>
          </w:p>
        </w:tc>
        <w:tc>
          <w:tcPr>
            <w:tcW w:w="2819" w:type="dxa"/>
            <w:vMerge/>
            <w:tcBorders>
              <w:top w:val="single" w:sz="6" w:space="0" w:color="auto"/>
              <w:left w:val="nil"/>
              <w:bottom w:val="single" w:sz="6" w:space="0" w:color="auto"/>
              <w:right w:val="nil"/>
            </w:tcBorders>
            <w:vAlign w:val="center"/>
            <w:hideMark/>
          </w:tcPr>
          <w:p w14:paraId="38D97CB8" w14:textId="77777777" w:rsidR="002F070F" w:rsidRPr="00D80068" w:rsidRDefault="002F070F" w:rsidP="00606FA0">
            <w:pPr>
              <w:rPr>
                <w:rFonts w:cs="Arial"/>
                <w:sz w:val="18"/>
                <w:szCs w:val="22"/>
                <w:lang w:eastAsia="en-AU"/>
              </w:rPr>
            </w:pPr>
          </w:p>
        </w:tc>
        <w:tc>
          <w:tcPr>
            <w:tcW w:w="1559" w:type="dxa"/>
            <w:tcBorders>
              <w:top w:val="nil"/>
              <w:left w:val="nil"/>
              <w:bottom w:val="single" w:sz="6" w:space="0" w:color="auto"/>
              <w:right w:val="nil"/>
            </w:tcBorders>
            <w:hideMark/>
          </w:tcPr>
          <w:p w14:paraId="0A926488" w14:textId="77777777" w:rsidR="002F070F" w:rsidRPr="00D80068" w:rsidRDefault="002F070F" w:rsidP="00606FA0">
            <w:pPr>
              <w:pStyle w:val="FSCtblMain"/>
            </w:pPr>
            <w:r w:rsidRPr="00D80068">
              <w:t>Increased</w:t>
            </w:r>
          </w:p>
        </w:tc>
        <w:tc>
          <w:tcPr>
            <w:tcW w:w="3152" w:type="dxa"/>
            <w:tcBorders>
              <w:top w:val="nil"/>
              <w:left w:val="nil"/>
              <w:bottom w:val="single" w:sz="6" w:space="0" w:color="auto"/>
              <w:right w:val="nil"/>
            </w:tcBorders>
            <w:hideMark/>
          </w:tcPr>
          <w:p w14:paraId="2D276609" w14:textId="77777777" w:rsidR="002F070F" w:rsidRPr="00D80068" w:rsidRDefault="002F070F" w:rsidP="00606FA0">
            <w:pPr>
              <w:pStyle w:val="FSCtblPara"/>
            </w:pPr>
            <w:r w:rsidRPr="00D80068">
              <w:t>(a)</w:t>
            </w:r>
            <w:r w:rsidRPr="00D80068">
              <w:tab/>
              <w:t>The food contains at least 25% more omega-3 fatty acids than in the same amount of *reference food; and</w:t>
            </w:r>
          </w:p>
          <w:p w14:paraId="5B823CB0" w14:textId="77777777" w:rsidR="002F070F" w:rsidRPr="00D80068" w:rsidRDefault="002F070F" w:rsidP="00606FA0">
            <w:pPr>
              <w:pStyle w:val="FSCtblPara"/>
            </w:pPr>
            <w:r w:rsidRPr="00D80068">
              <w:t>(b)</w:t>
            </w:r>
            <w:r w:rsidRPr="00D80068">
              <w:tab/>
              <w:t>the reference food meets the general claim conditions for a nutrition content claim about omega-3 fatty acids.</w:t>
            </w:r>
          </w:p>
        </w:tc>
      </w:tr>
    </w:tbl>
    <w:p w14:paraId="0ED4F050" w14:textId="77777777" w:rsidR="002F070F" w:rsidRDefault="002F070F" w:rsidP="002F070F">
      <w:pPr>
        <w:jc w:val="right"/>
        <w:rPr>
          <w:rFonts w:eastAsia="Calibri" w:cs="Arial"/>
          <w:sz w:val="20"/>
          <w:szCs w:val="20"/>
          <w:lang w:eastAsia="en-AU"/>
        </w:rPr>
      </w:pPr>
      <w:r w:rsidRPr="00D80068">
        <w:rPr>
          <w:rFonts w:eastAsia="Calibri" w:cs="Arial"/>
          <w:sz w:val="20"/>
          <w:szCs w:val="20"/>
          <w:lang w:eastAsia="en-AU"/>
        </w:rPr>
        <w:t>”</w:t>
      </w:r>
    </w:p>
    <w:p w14:paraId="1A13E530" w14:textId="77777777" w:rsidR="002F070F" w:rsidRPr="00D80068" w:rsidRDefault="002F070F" w:rsidP="002F070F">
      <w:pPr>
        <w:pStyle w:val="FSCtMain"/>
      </w:pPr>
      <w:r w:rsidRPr="0023531E">
        <w:rPr>
          <w:b/>
        </w:rPr>
        <w:t>[5]</w:t>
      </w:r>
      <w:r w:rsidRPr="0023531E">
        <w:rPr>
          <w:b/>
        </w:rPr>
        <w:tab/>
        <w:t>Schedule 5</w:t>
      </w:r>
      <w:r w:rsidRPr="00D80068">
        <w:t xml:space="preserve"> is varied by</w:t>
      </w:r>
    </w:p>
    <w:p w14:paraId="084C17CA" w14:textId="781E6417" w:rsidR="002F070F" w:rsidRPr="00D80068" w:rsidRDefault="002F070F" w:rsidP="002F070F">
      <w:pPr>
        <w:pStyle w:val="FSCtMain"/>
        <w:ind w:left="0" w:firstLine="0"/>
      </w:pPr>
      <w:r w:rsidRPr="00D80068">
        <w:t>[5</w:t>
      </w:r>
      <w:r>
        <w:t>.1</w:t>
      </w:r>
      <w:r w:rsidRPr="00D80068">
        <w:t>]</w:t>
      </w:r>
      <w:r w:rsidRPr="00D80068">
        <w:tab/>
        <w:t>omitting “the content of energy and each nutrient” from section S5—3</w:t>
      </w:r>
      <w:r w:rsidR="00136ED8">
        <w:t xml:space="preserve"> and</w:t>
      </w:r>
      <w:r w:rsidRPr="00D80068">
        <w:t xml:space="preserve"> substituting “the average energy content and the average quantity of each nutrient”</w:t>
      </w:r>
    </w:p>
    <w:p w14:paraId="6A396072" w14:textId="40F2D04C" w:rsidR="002F070F" w:rsidRPr="00D80068" w:rsidRDefault="002F070F" w:rsidP="002F070F">
      <w:pPr>
        <w:pStyle w:val="FSCtMain"/>
        <w:ind w:left="0" w:firstLine="0"/>
      </w:pPr>
      <w:r w:rsidRPr="00D80068">
        <w:t>[5.</w:t>
      </w:r>
      <w:r>
        <w:t>2</w:t>
      </w:r>
      <w:r w:rsidRPr="00D80068">
        <w:t>]</w:t>
      </w:r>
      <w:r w:rsidRPr="00D80068">
        <w:tab/>
        <w:t>omitting “</w:t>
      </w:r>
      <w:r w:rsidRPr="00D80068">
        <w:rPr>
          <w:b/>
          <w:i/>
        </w:rPr>
        <w:t xml:space="preserve">AEC </w:t>
      </w:r>
      <w:r w:rsidRPr="00D80068">
        <w:t>is the number of points for average energy content” from section S5—3</w:t>
      </w:r>
      <w:r w:rsidR="00136ED8">
        <w:t xml:space="preserve"> and</w:t>
      </w:r>
      <w:r w:rsidRPr="00D80068">
        <w:t xml:space="preserve"> substituting “</w:t>
      </w:r>
      <w:r w:rsidRPr="00D80068">
        <w:rPr>
          <w:b/>
          <w:i/>
        </w:rPr>
        <w:t xml:space="preserve">AEC </w:t>
      </w:r>
      <w:r w:rsidRPr="00D80068">
        <w:t>is the number of points for the average energy content in the unit quantity of the food”</w:t>
      </w:r>
    </w:p>
    <w:p w14:paraId="3635DADE" w14:textId="3E2DDCE2" w:rsidR="002F070F" w:rsidRPr="00D80068" w:rsidRDefault="002F070F" w:rsidP="002F070F">
      <w:pPr>
        <w:pStyle w:val="FSCtMain"/>
        <w:ind w:left="0" w:firstLine="0"/>
      </w:pPr>
      <w:r w:rsidRPr="00D80068">
        <w:t>[5.</w:t>
      </w:r>
      <w:r>
        <w:t>3</w:t>
      </w:r>
      <w:r w:rsidRPr="00D80068">
        <w:t>]</w:t>
      </w:r>
      <w:r w:rsidRPr="00D80068">
        <w:tab/>
        <w:t>omitting “</w:t>
      </w:r>
      <w:r w:rsidRPr="00D80068">
        <w:rPr>
          <w:b/>
          <w:i/>
        </w:rPr>
        <w:t xml:space="preserve">ASFA </w:t>
      </w:r>
      <w:r w:rsidRPr="00D80068">
        <w:t>is the number of points for average saturated fatty acids” from section S5—3</w:t>
      </w:r>
      <w:r w:rsidR="00136ED8">
        <w:t xml:space="preserve"> and </w:t>
      </w:r>
      <w:r w:rsidRPr="00D80068">
        <w:t>substituting “</w:t>
      </w:r>
      <w:r w:rsidRPr="00D80068">
        <w:rPr>
          <w:b/>
          <w:i/>
        </w:rPr>
        <w:t xml:space="preserve">ASFA </w:t>
      </w:r>
      <w:r w:rsidRPr="00D80068">
        <w:t>is the number of points for the average quantity of saturated fatty acids in the unit quantity of the food”</w:t>
      </w:r>
    </w:p>
    <w:p w14:paraId="4B1A4E3D" w14:textId="36C5A09E" w:rsidR="002F070F" w:rsidRPr="00D80068" w:rsidRDefault="002F070F" w:rsidP="002F070F">
      <w:pPr>
        <w:pStyle w:val="FSCtMain"/>
        <w:ind w:left="0" w:firstLine="0"/>
      </w:pPr>
      <w:r w:rsidRPr="00D80068">
        <w:t>[5.</w:t>
      </w:r>
      <w:r>
        <w:t>4</w:t>
      </w:r>
      <w:r w:rsidRPr="00D80068">
        <w:t>]</w:t>
      </w:r>
      <w:r w:rsidRPr="00D80068">
        <w:tab/>
        <w:t>omitting “</w:t>
      </w:r>
      <w:r w:rsidRPr="00D80068">
        <w:rPr>
          <w:b/>
          <w:i/>
        </w:rPr>
        <w:t xml:space="preserve">ATS </w:t>
      </w:r>
      <w:r w:rsidRPr="00D80068">
        <w:t>is the number of points for average total sugars” from section S5—3</w:t>
      </w:r>
      <w:r w:rsidR="00136ED8">
        <w:t xml:space="preserve"> and</w:t>
      </w:r>
      <w:r w:rsidRPr="00D80068">
        <w:t xml:space="preserve"> substituting “</w:t>
      </w:r>
      <w:r w:rsidRPr="00D80068">
        <w:rPr>
          <w:b/>
          <w:i/>
        </w:rPr>
        <w:t xml:space="preserve">ATS </w:t>
      </w:r>
      <w:r w:rsidRPr="00D80068">
        <w:t>is the number of points for the average quantity of sugars in the unit quantity of the food”</w:t>
      </w:r>
    </w:p>
    <w:p w14:paraId="4B3860F6" w14:textId="56AFA810" w:rsidR="002F070F" w:rsidRPr="00D80068" w:rsidRDefault="002F070F" w:rsidP="002F070F">
      <w:pPr>
        <w:pStyle w:val="FSCtMain"/>
        <w:ind w:left="0" w:firstLine="0"/>
      </w:pPr>
      <w:r w:rsidRPr="00D80068">
        <w:t>[5.</w:t>
      </w:r>
      <w:r>
        <w:t>5</w:t>
      </w:r>
      <w:r w:rsidRPr="00D80068">
        <w:t>]</w:t>
      </w:r>
      <w:r w:rsidRPr="00D80068">
        <w:tab/>
        <w:t>omitting “</w:t>
      </w:r>
      <w:r w:rsidRPr="00D80068">
        <w:rPr>
          <w:b/>
          <w:i/>
        </w:rPr>
        <w:t xml:space="preserve">AS </w:t>
      </w:r>
      <w:r w:rsidRPr="00D80068">
        <w:t>is the number of points for average sodium” from section S5—3</w:t>
      </w:r>
      <w:r w:rsidR="00136ED8">
        <w:t xml:space="preserve"> and</w:t>
      </w:r>
      <w:r w:rsidRPr="00D80068">
        <w:t xml:space="preserve"> substituting “</w:t>
      </w:r>
      <w:r w:rsidRPr="00D80068">
        <w:rPr>
          <w:b/>
          <w:i/>
        </w:rPr>
        <w:t xml:space="preserve">AS </w:t>
      </w:r>
      <w:r w:rsidRPr="00D80068">
        <w:t>is the number of points for the average quantity of sodium in the unit quantity of the food”</w:t>
      </w:r>
    </w:p>
    <w:p w14:paraId="4CEC9F4C" w14:textId="77777777" w:rsidR="002F070F" w:rsidRPr="00D80068" w:rsidRDefault="002F070F" w:rsidP="002F070F">
      <w:pPr>
        <w:pStyle w:val="FSCtMain"/>
      </w:pPr>
      <w:r w:rsidRPr="00D80068">
        <w:t>[5.</w:t>
      </w:r>
      <w:r>
        <w:t>6</w:t>
      </w:r>
      <w:r w:rsidRPr="00D80068">
        <w:t>]</w:t>
      </w:r>
      <w:r w:rsidRPr="00D80068">
        <w:tab/>
        <w:t xml:space="preserve">omitting “total” </w:t>
      </w:r>
      <w:r>
        <w:t>from</w:t>
      </w:r>
      <w:r w:rsidRPr="00D80068">
        <w:t xml:space="preserve"> Table 1 </w:t>
      </w:r>
      <w:r>
        <w:t xml:space="preserve">to </w:t>
      </w:r>
      <w:r w:rsidRPr="00D80068">
        <w:t>S</w:t>
      </w:r>
      <w:r>
        <w:t>5</w:t>
      </w:r>
      <w:r w:rsidRPr="00D80068">
        <w:t>—3</w:t>
      </w:r>
    </w:p>
    <w:p w14:paraId="2CA80FF6" w14:textId="77777777" w:rsidR="002F070F" w:rsidRPr="00D80068" w:rsidRDefault="002F070F" w:rsidP="002F070F">
      <w:pPr>
        <w:pStyle w:val="FSCtMain"/>
      </w:pPr>
      <w:r w:rsidRPr="00D80068">
        <w:t>[5.</w:t>
      </w:r>
      <w:r>
        <w:t>7</w:t>
      </w:r>
      <w:r w:rsidRPr="00D80068">
        <w:t>]</w:t>
      </w:r>
      <w:r w:rsidRPr="00D80068">
        <w:tab/>
        <w:t xml:space="preserve">omitting “total” </w:t>
      </w:r>
      <w:r>
        <w:t>from</w:t>
      </w:r>
      <w:r w:rsidRPr="00D80068">
        <w:t xml:space="preserve"> Table 2 </w:t>
      </w:r>
      <w:r>
        <w:t xml:space="preserve">to </w:t>
      </w:r>
      <w:r w:rsidRPr="00D80068">
        <w:t>S</w:t>
      </w:r>
      <w:r>
        <w:t>5</w:t>
      </w:r>
      <w:r w:rsidRPr="00D80068">
        <w:t>—3</w:t>
      </w:r>
    </w:p>
    <w:p w14:paraId="467912AE" w14:textId="77777777" w:rsidR="002F070F" w:rsidRPr="00D80068" w:rsidRDefault="002F070F" w:rsidP="002F070F">
      <w:pPr>
        <w:pStyle w:val="FSCtMain"/>
      </w:pPr>
      <w:r w:rsidRPr="00D80068">
        <w:t>[5.8]</w:t>
      </w:r>
      <w:r w:rsidRPr="00D80068">
        <w:tab/>
        <w:t>omitting “sources” wherever occurring in section S5—4</w:t>
      </w:r>
    </w:p>
    <w:p w14:paraId="2DCE6D89" w14:textId="77777777" w:rsidR="002F070F" w:rsidRPr="00D80068" w:rsidRDefault="002F070F" w:rsidP="002F070F">
      <w:pPr>
        <w:pStyle w:val="FSCtMain"/>
      </w:pPr>
      <w:r w:rsidRPr="00D80068">
        <w:t>[5.9]</w:t>
      </w:r>
      <w:r w:rsidRPr="00D80068">
        <w:tab/>
        <w:t>omitting subsection S5—5(1)</w:t>
      </w:r>
      <w:r>
        <w:t xml:space="preserve"> and</w:t>
      </w:r>
      <w:r w:rsidRPr="00D80068">
        <w:t xml:space="preserve"> substituting</w:t>
      </w:r>
    </w:p>
    <w:p w14:paraId="634CEFD1" w14:textId="77777777" w:rsidR="002F070F" w:rsidRDefault="002F070F" w:rsidP="002F070F">
      <w:pPr>
        <w:pStyle w:val="FSCtMain"/>
        <w:rPr>
          <w:rFonts w:eastAsia="Calibri"/>
        </w:rPr>
      </w:pPr>
      <w:r>
        <w:tab/>
        <w:t>“(1)</w:t>
      </w:r>
      <w:r w:rsidRPr="00D80068">
        <w:tab/>
      </w:r>
      <w:r w:rsidRPr="00D80068">
        <w:rPr>
          <w:rFonts w:eastAsia="Calibri"/>
        </w:rPr>
        <w:t>Use Table 4 to determine the ‘P points’ scored, depending on the average quantity of protein in 100 g or 100 mL of the food product (based on the units used in the nutrition information panel). A maximum of five points can be awarded.”</w:t>
      </w:r>
    </w:p>
    <w:p w14:paraId="199916F8" w14:textId="77777777" w:rsidR="002F070F" w:rsidRPr="00D80068" w:rsidRDefault="002F070F" w:rsidP="002F070F">
      <w:pPr>
        <w:pStyle w:val="FSCtMain"/>
      </w:pPr>
      <w:r w:rsidRPr="00D80068">
        <w:t>[5.10]</w:t>
      </w:r>
      <w:r w:rsidRPr="00D80068">
        <w:tab/>
        <w:t>omitting subsection S5—6(1)</w:t>
      </w:r>
      <w:r>
        <w:t xml:space="preserve"> and</w:t>
      </w:r>
      <w:r w:rsidRPr="00D80068">
        <w:t xml:space="preserve"> substituting</w:t>
      </w:r>
    </w:p>
    <w:p w14:paraId="2112ED1B" w14:textId="1A672CB7" w:rsidR="00F63C2C" w:rsidRDefault="002F070F" w:rsidP="002F070F">
      <w:pPr>
        <w:pStyle w:val="FSCtMain"/>
        <w:rPr>
          <w:rFonts w:eastAsia="Calibri"/>
        </w:rPr>
      </w:pPr>
      <w:r>
        <w:tab/>
      </w:r>
      <w:r w:rsidRPr="00D80068">
        <w:t>“(1)</w:t>
      </w:r>
      <w:r w:rsidRPr="00D80068">
        <w:tab/>
      </w:r>
      <w:r w:rsidRPr="00D80068">
        <w:rPr>
          <w:rFonts w:eastAsia="Calibri"/>
        </w:rPr>
        <w:t xml:space="preserve">Use Table 5 to determine the ‘F points’ scored, depending on the average quantity of </w:t>
      </w:r>
      <w:r w:rsidRPr="00D80068">
        <w:t>*</w:t>
      </w:r>
      <w:r w:rsidRPr="00D80068">
        <w:rPr>
          <w:rFonts w:eastAsia="Calibri"/>
        </w:rPr>
        <w:t>dietary fibre in 100 g or 100 mL of the food product (based on the units used in the nutrition information panel). A maximum of five points can be awarded.”</w:t>
      </w:r>
      <w:r w:rsidR="00F63C2C">
        <w:rPr>
          <w:rFonts w:eastAsia="Calibri"/>
        </w:rPr>
        <w:br w:type="page"/>
      </w:r>
    </w:p>
    <w:p w14:paraId="6E1EE372" w14:textId="77777777" w:rsidR="002F070F" w:rsidRDefault="002F070F" w:rsidP="002F070F">
      <w:pPr>
        <w:pStyle w:val="FSCtMain"/>
      </w:pPr>
      <w:r w:rsidRPr="00D80068">
        <w:rPr>
          <w:b/>
        </w:rPr>
        <w:lastRenderedPageBreak/>
        <w:t>[6]</w:t>
      </w:r>
      <w:r w:rsidRPr="00D80068">
        <w:rPr>
          <w:b/>
        </w:rPr>
        <w:tab/>
        <w:t>Schedule 12</w:t>
      </w:r>
      <w:r w:rsidRPr="00D80068">
        <w:t xml:space="preserve"> is varied by omitting “1.2.8—6(3) and 1.2.8—6(5)” from section S12—3</w:t>
      </w:r>
      <w:r>
        <w:t xml:space="preserve"> and</w:t>
      </w:r>
      <w:r w:rsidRPr="00D80068">
        <w:t xml:space="preserve"> substituting “1.2.8—6(3), 1.2.8—6(5), 1.2.8—6(11), 1.2.8—6(12) and .2.8—6(13)”</w:t>
      </w:r>
    </w:p>
    <w:p w14:paraId="320886EC" w14:textId="77777777" w:rsidR="002F070F" w:rsidRPr="00D80068" w:rsidRDefault="002F070F" w:rsidP="002F070F">
      <w:pPr>
        <w:pStyle w:val="FSCtMain"/>
      </w:pPr>
      <w:r w:rsidRPr="00D80068">
        <w:rPr>
          <w:b/>
        </w:rPr>
        <w:t>[7]</w:t>
      </w:r>
      <w:r w:rsidRPr="00D80068">
        <w:rPr>
          <w:b/>
        </w:rPr>
        <w:tab/>
        <w:t>Schedule 13</w:t>
      </w:r>
      <w:r w:rsidRPr="00D80068">
        <w:t xml:space="preserve"> is varied by omitting the table to section S13—2, </w:t>
      </w:r>
      <w:r>
        <w:t xml:space="preserve">and </w:t>
      </w:r>
      <w:r w:rsidRPr="00D80068">
        <w:t>substituting</w:t>
      </w:r>
    </w:p>
    <w:p w14:paraId="0C2CE4FA" w14:textId="77777777" w:rsidR="002F070F" w:rsidRPr="00D80068" w:rsidRDefault="002F070F" w:rsidP="002F070F">
      <w:pPr>
        <w:pStyle w:val="FSCtblBh2"/>
      </w:pPr>
      <w:r w:rsidRPr="00113C17">
        <w:t>“</w:t>
      </w:r>
      <w:r w:rsidRPr="00D80068">
        <w:t>Nutrition information for food in small packages</w:t>
      </w:r>
    </w:p>
    <w:tbl>
      <w:tblPr>
        <w:tblW w:w="9072" w:type="dxa"/>
        <w:jc w:val="center"/>
        <w:tblLook w:val="04A0" w:firstRow="1" w:lastRow="0" w:firstColumn="1" w:lastColumn="0" w:noHBand="0" w:noVBand="1"/>
      </w:tblPr>
      <w:tblGrid>
        <w:gridCol w:w="4865"/>
        <w:gridCol w:w="4207"/>
      </w:tblGrid>
      <w:tr w:rsidR="002F070F" w:rsidRPr="00D80068" w14:paraId="282F0DDA" w14:textId="77777777" w:rsidTr="00606FA0">
        <w:trPr>
          <w:tblHeader/>
          <w:jc w:val="center"/>
        </w:trPr>
        <w:tc>
          <w:tcPr>
            <w:tcW w:w="4865" w:type="dxa"/>
            <w:tcBorders>
              <w:top w:val="single" w:sz="4" w:space="0" w:color="auto"/>
              <w:left w:val="nil"/>
              <w:bottom w:val="single" w:sz="4" w:space="0" w:color="auto"/>
              <w:right w:val="nil"/>
            </w:tcBorders>
            <w:hideMark/>
          </w:tcPr>
          <w:p w14:paraId="31590B1C" w14:textId="77777777" w:rsidR="002F070F" w:rsidRPr="008360E8" w:rsidRDefault="002F070F" w:rsidP="00606FA0">
            <w:pPr>
              <w:pStyle w:val="FSCtblh3"/>
            </w:pPr>
            <w:r w:rsidRPr="008360E8">
              <w:t>Column 1</w:t>
            </w:r>
          </w:p>
        </w:tc>
        <w:tc>
          <w:tcPr>
            <w:tcW w:w="4207" w:type="dxa"/>
            <w:tcBorders>
              <w:top w:val="single" w:sz="4" w:space="0" w:color="auto"/>
              <w:left w:val="nil"/>
              <w:bottom w:val="single" w:sz="4" w:space="0" w:color="auto"/>
              <w:right w:val="nil"/>
            </w:tcBorders>
            <w:hideMark/>
          </w:tcPr>
          <w:p w14:paraId="400C052B" w14:textId="77777777" w:rsidR="002F070F" w:rsidRPr="008360E8" w:rsidRDefault="002F070F" w:rsidP="00606FA0">
            <w:pPr>
              <w:pStyle w:val="FSCtblh3"/>
            </w:pPr>
            <w:r w:rsidRPr="008360E8">
              <w:t>Column 2</w:t>
            </w:r>
          </w:p>
        </w:tc>
      </w:tr>
      <w:tr w:rsidR="002F070F" w:rsidRPr="00D80068" w14:paraId="6775E25D" w14:textId="77777777" w:rsidTr="00606FA0">
        <w:trPr>
          <w:tblHeader/>
          <w:jc w:val="center"/>
        </w:trPr>
        <w:tc>
          <w:tcPr>
            <w:tcW w:w="4865" w:type="dxa"/>
            <w:tcBorders>
              <w:top w:val="single" w:sz="4" w:space="0" w:color="auto"/>
              <w:left w:val="nil"/>
              <w:bottom w:val="single" w:sz="4" w:space="0" w:color="auto"/>
              <w:right w:val="nil"/>
            </w:tcBorders>
            <w:hideMark/>
          </w:tcPr>
          <w:p w14:paraId="303325C2" w14:textId="77777777" w:rsidR="002F070F" w:rsidRPr="008360E8" w:rsidRDefault="002F070F" w:rsidP="00606FA0">
            <w:pPr>
              <w:pStyle w:val="FSCtblh4"/>
            </w:pPr>
            <w:r w:rsidRPr="008360E8">
              <w:t>Claim is about</w:t>
            </w:r>
          </w:p>
        </w:tc>
        <w:tc>
          <w:tcPr>
            <w:tcW w:w="4207" w:type="dxa"/>
            <w:tcBorders>
              <w:top w:val="single" w:sz="4" w:space="0" w:color="auto"/>
              <w:left w:val="nil"/>
              <w:bottom w:val="single" w:sz="4" w:space="0" w:color="auto"/>
              <w:right w:val="nil"/>
            </w:tcBorders>
            <w:hideMark/>
          </w:tcPr>
          <w:p w14:paraId="353C5AD8" w14:textId="77777777" w:rsidR="002F070F" w:rsidRPr="008360E8" w:rsidRDefault="002F070F" w:rsidP="00606FA0">
            <w:pPr>
              <w:pStyle w:val="FSCtblh4"/>
            </w:pPr>
            <w:r w:rsidRPr="008360E8">
              <w:t>Label must include</w:t>
            </w:r>
          </w:p>
        </w:tc>
      </w:tr>
      <w:tr w:rsidR="002F070F" w:rsidRPr="00D80068" w14:paraId="700C51A6" w14:textId="77777777" w:rsidTr="00606FA0">
        <w:trPr>
          <w:cantSplit/>
          <w:jc w:val="center"/>
        </w:trPr>
        <w:tc>
          <w:tcPr>
            <w:tcW w:w="4865" w:type="dxa"/>
            <w:tcBorders>
              <w:top w:val="single" w:sz="4" w:space="0" w:color="auto"/>
              <w:left w:val="nil"/>
              <w:bottom w:val="nil"/>
              <w:right w:val="nil"/>
            </w:tcBorders>
            <w:hideMark/>
          </w:tcPr>
          <w:p w14:paraId="3079F815" w14:textId="77777777" w:rsidR="002F070F" w:rsidRPr="00D80068" w:rsidRDefault="002F070F" w:rsidP="00606FA0">
            <w:pPr>
              <w:pStyle w:val="FSCtblMain"/>
            </w:pPr>
            <w:r w:rsidRPr="00D80068">
              <w:t>Any nutrient or biologically active substance (other than a vitamin or mineral with a RDI)</w:t>
            </w:r>
          </w:p>
        </w:tc>
        <w:tc>
          <w:tcPr>
            <w:tcW w:w="4207" w:type="dxa"/>
            <w:tcBorders>
              <w:top w:val="single" w:sz="4" w:space="0" w:color="auto"/>
              <w:left w:val="nil"/>
              <w:bottom w:val="nil"/>
              <w:right w:val="nil"/>
            </w:tcBorders>
            <w:hideMark/>
          </w:tcPr>
          <w:p w14:paraId="522EFF7D" w14:textId="77777777" w:rsidR="002F070F" w:rsidRPr="00D80068" w:rsidRDefault="002F070F" w:rsidP="00606FA0">
            <w:pPr>
              <w:pStyle w:val="FSCtblMain"/>
            </w:pPr>
            <w:r w:rsidRPr="00D80068">
              <w:t>Average quantity of the nutrient or biologically  active substance present per serving of the food</w:t>
            </w:r>
          </w:p>
        </w:tc>
      </w:tr>
      <w:tr w:rsidR="002F070F" w:rsidRPr="00D80068" w14:paraId="623396ED" w14:textId="77777777" w:rsidTr="00606FA0">
        <w:trPr>
          <w:cantSplit/>
          <w:jc w:val="center"/>
        </w:trPr>
        <w:tc>
          <w:tcPr>
            <w:tcW w:w="4865" w:type="dxa"/>
            <w:tcBorders>
              <w:top w:val="nil"/>
              <w:left w:val="nil"/>
              <w:bottom w:val="nil"/>
              <w:right w:val="nil"/>
            </w:tcBorders>
            <w:hideMark/>
          </w:tcPr>
          <w:p w14:paraId="23A53515" w14:textId="77777777" w:rsidR="002F070F" w:rsidRPr="00D80068" w:rsidRDefault="002F070F" w:rsidP="00606FA0">
            <w:pPr>
              <w:pStyle w:val="FSCtblMain"/>
            </w:pPr>
            <w:r w:rsidRPr="00D80068">
              <w:t>Any vitamin or mineral with a RDI</w:t>
            </w:r>
          </w:p>
        </w:tc>
        <w:tc>
          <w:tcPr>
            <w:tcW w:w="4207" w:type="dxa"/>
            <w:tcBorders>
              <w:top w:val="nil"/>
              <w:left w:val="nil"/>
              <w:bottom w:val="nil"/>
              <w:right w:val="nil"/>
            </w:tcBorders>
            <w:hideMark/>
          </w:tcPr>
          <w:p w14:paraId="13F23023" w14:textId="77777777" w:rsidR="002F070F" w:rsidRPr="00D80068" w:rsidRDefault="002F070F" w:rsidP="00606FA0">
            <w:pPr>
              <w:pStyle w:val="FSCtblPara"/>
            </w:pPr>
            <w:r w:rsidRPr="00D80068">
              <w:t>(a)</w:t>
            </w:r>
            <w:r w:rsidRPr="00D80068">
              <w:tab/>
              <w:t>*Average quantity of the vitamin or mineral present per serving of the food; and</w:t>
            </w:r>
          </w:p>
          <w:p w14:paraId="4D2D6975" w14:textId="77777777" w:rsidR="002F070F" w:rsidRPr="00D80068" w:rsidRDefault="002F070F" w:rsidP="00606FA0">
            <w:pPr>
              <w:pStyle w:val="FSCtblPara"/>
            </w:pPr>
            <w:r w:rsidRPr="00D80068">
              <w:t>(b)</w:t>
            </w:r>
            <w:r w:rsidRPr="00D80068">
              <w:tab/>
              <w:t>Percentage of the RDI for the vitamin or mineral contributed by one serving of the food, and calculated in accordance with section 1.2.8—9.</w:t>
            </w:r>
          </w:p>
        </w:tc>
      </w:tr>
      <w:tr w:rsidR="002F070F" w:rsidRPr="00D80068" w14:paraId="5E74CA91" w14:textId="77777777" w:rsidTr="00606FA0">
        <w:trPr>
          <w:cantSplit/>
          <w:jc w:val="center"/>
        </w:trPr>
        <w:tc>
          <w:tcPr>
            <w:tcW w:w="4865" w:type="dxa"/>
            <w:tcBorders>
              <w:top w:val="nil"/>
              <w:left w:val="nil"/>
              <w:bottom w:val="nil"/>
              <w:right w:val="nil"/>
            </w:tcBorders>
            <w:hideMark/>
          </w:tcPr>
          <w:p w14:paraId="7031F1BD" w14:textId="77777777" w:rsidR="002F070F" w:rsidRPr="00D80068" w:rsidRDefault="002F070F" w:rsidP="00606FA0">
            <w:pPr>
              <w:pStyle w:val="FSCtblMain"/>
              <w:rPr>
                <w:bCs/>
              </w:rPr>
            </w:pPr>
            <w:r w:rsidRPr="00D80068">
              <w:rPr>
                <w:bCs/>
              </w:rPr>
              <w:t>Polyunsaturated fatty acids or monounsaturated fatty acids in a food standardised in Standard 2.4.1 or 2.4.2</w:t>
            </w:r>
          </w:p>
        </w:tc>
        <w:tc>
          <w:tcPr>
            <w:tcW w:w="4207" w:type="dxa"/>
            <w:tcBorders>
              <w:top w:val="nil"/>
              <w:left w:val="nil"/>
              <w:bottom w:val="nil"/>
              <w:right w:val="nil"/>
            </w:tcBorders>
            <w:hideMark/>
          </w:tcPr>
          <w:p w14:paraId="4713D23A" w14:textId="77777777" w:rsidR="002F070F" w:rsidRPr="00D80068" w:rsidRDefault="002F070F" w:rsidP="00606FA0">
            <w:pPr>
              <w:pStyle w:val="FSCtblMain"/>
            </w:pPr>
            <w:r w:rsidRPr="00D80068">
              <w:t>Saturated fatty acids, trans fatty acids, *polyunsaturated fatty acids and monounsaturated fatty acids content per serving of the food</w:t>
            </w:r>
          </w:p>
        </w:tc>
      </w:tr>
      <w:tr w:rsidR="002F070F" w:rsidRPr="00D80068" w14:paraId="15B3302C" w14:textId="77777777" w:rsidTr="00606FA0">
        <w:trPr>
          <w:cantSplit/>
          <w:jc w:val="center"/>
        </w:trPr>
        <w:tc>
          <w:tcPr>
            <w:tcW w:w="4865" w:type="dxa"/>
            <w:tcBorders>
              <w:top w:val="nil"/>
              <w:left w:val="nil"/>
              <w:bottom w:val="nil"/>
              <w:right w:val="nil"/>
            </w:tcBorders>
            <w:hideMark/>
          </w:tcPr>
          <w:p w14:paraId="418C122A" w14:textId="77777777" w:rsidR="002F070F" w:rsidRPr="00D80068" w:rsidRDefault="002F070F" w:rsidP="00606FA0">
            <w:pPr>
              <w:pStyle w:val="FSCtblMain"/>
              <w:rPr>
                <w:bCs/>
              </w:rPr>
            </w:pPr>
            <w:r w:rsidRPr="00D80068">
              <w:rPr>
                <w:bCs/>
              </w:rPr>
              <w:t>Polyunsaturated fatty acids or monounsaturated fatty acids in a food that is not a food standardised in Standard 2.4.1 or 2.4.2</w:t>
            </w:r>
          </w:p>
        </w:tc>
        <w:tc>
          <w:tcPr>
            <w:tcW w:w="4207" w:type="dxa"/>
            <w:tcBorders>
              <w:top w:val="nil"/>
              <w:left w:val="nil"/>
              <w:bottom w:val="nil"/>
              <w:right w:val="nil"/>
            </w:tcBorders>
            <w:hideMark/>
          </w:tcPr>
          <w:p w14:paraId="35A1A7E8" w14:textId="77777777" w:rsidR="002F070F" w:rsidRPr="00D80068" w:rsidRDefault="002F070F" w:rsidP="00606FA0">
            <w:pPr>
              <w:pStyle w:val="FSCtblMain"/>
            </w:pPr>
            <w:r w:rsidRPr="00D80068">
              <w:t>Average quantity of saturated fatty acids, trans fatty acids, *polyunsaturated fatty acids and monounsaturated fatty acids content per serving of the food</w:t>
            </w:r>
          </w:p>
        </w:tc>
      </w:tr>
      <w:tr w:rsidR="002F070F" w:rsidRPr="00D80068" w14:paraId="42168DAF" w14:textId="77777777" w:rsidTr="00606FA0">
        <w:trPr>
          <w:cantSplit/>
          <w:jc w:val="center"/>
        </w:trPr>
        <w:tc>
          <w:tcPr>
            <w:tcW w:w="4865" w:type="dxa"/>
            <w:tcBorders>
              <w:top w:val="nil"/>
              <w:left w:val="nil"/>
              <w:bottom w:val="nil"/>
              <w:right w:val="nil"/>
            </w:tcBorders>
            <w:hideMark/>
          </w:tcPr>
          <w:p w14:paraId="164BC700" w14:textId="77777777" w:rsidR="002F070F" w:rsidRPr="00D80068" w:rsidRDefault="002F070F" w:rsidP="00606FA0">
            <w:pPr>
              <w:pStyle w:val="FSCtblMain"/>
              <w:rPr>
                <w:bCs/>
              </w:rPr>
            </w:pPr>
            <w:r w:rsidRPr="00D80068">
              <w:rPr>
                <w:bCs/>
                <w:iCs/>
                <w:lang w:val="en-NZ"/>
              </w:rPr>
              <w:t>Cholesterol, saturated fatty acids, trans fatty acids, omega-6 or omega-9 fatty acids</w:t>
            </w:r>
          </w:p>
        </w:tc>
        <w:tc>
          <w:tcPr>
            <w:tcW w:w="4207" w:type="dxa"/>
            <w:tcBorders>
              <w:top w:val="nil"/>
              <w:left w:val="nil"/>
              <w:bottom w:val="nil"/>
              <w:right w:val="nil"/>
            </w:tcBorders>
            <w:hideMark/>
          </w:tcPr>
          <w:p w14:paraId="741E1B9F" w14:textId="77777777" w:rsidR="002F070F" w:rsidRPr="00D80068" w:rsidRDefault="002F070F" w:rsidP="00606FA0">
            <w:pPr>
              <w:pStyle w:val="FSCtblMain"/>
            </w:pPr>
            <w:r w:rsidRPr="00D80068">
              <w:t>Average quantity of saturated fatty acids, trans fatty acids, *polyunsaturated fatty acids and monounsaturated fatty acids content per serving of the food</w:t>
            </w:r>
          </w:p>
        </w:tc>
      </w:tr>
      <w:tr w:rsidR="002F070F" w:rsidRPr="00D80068" w14:paraId="7B21D2BA" w14:textId="77777777" w:rsidTr="00606FA0">
        <w:trPr>
          <w:cantSplit/>
          <w:jc w:val="center"/>
        </w:trPr>
        <w:tc>
          <w:tcPr>
            <w:tcW w:w="4865" w:type="dxa"/>
            <w:tcBorders>
              <w:top w:val="nil"/>
              <w:left w:val="nil"/>
              <w:bottom w:val="nil"/>
              <w:right w:val="nil"/>
            </w:tcBorders>
            <w:hideMark/>
          </w:tcPr>
          <w:p w14:paraId="76465434" w14:textId="77777777" w:rsidR="002F070F" w:rsidRPr="00D80068" w:rsidRDefault="002F070F" w:rsidP="00606FA0">
            <w:pPr>
              <w:pStyle w:val="FSCtblMain"/>
              <w:rPr>
                <w:bCs/>
              </w:rPr>
            </w:pPr>
            <w:r w:rsidRPr="00D80068">
              <w:rPr>
                <w:bCs/>
              </w:rPr>
              <w:t>Dietary fibre, sugars or any other *carbohydrate</w:t>
            </w:r>
          </w:p>
        </w:tc>
        <w:tc>
          <w:tcPr>
            <w:tcW w:w="4207" w:type="dxa"/>
            <w:tcBorders>
              <w:top w:val="nil"/>
              <w:left w:val="nil"/>
              <w:bottom w:val="nil"/>
              <w:right w:val="nil"/>
            </w:tcBorders>
          </w:tcPr>
          <w:p w14:paraId="031942BC" w14:textId="77777777" w:rsidR="002F070F" w:rsidRPr="00D80068" w:rsidRDefault="002F070F" w:rsidP="00606FA0">
            <w:pPr>
              <w:pStyle w:val="FSCtblMain"/>
            </w:pPr>
            <w:r w:rsidRPr="00D80068">
              <w:t>Average energy content per serving of the food and average quantity of carbohydrate, sugars and dietary (calculated in accordance with section S11—4) present per serving of the food</w:t>
            </w:r>
          </w:p>
        </w:tc>
      </w:tr>
      <w:tr w:rsidR="002F070F" w:rsidRPr="00D80068" w14:paraId="439551D5" w14:textId="77777777" w:rsidTr="00606FA0">
        <w:trPr>
          <w:cantSplit/>
          <w:jc w:val="center"/>
        </w:trPr>
        <w:tc>
          <w:tcPr>
            <w:tcW w:w="4865" w:type="dxa"/>
            <w:tcBorders>
              <w:top w:val="nil"/>
              <w:left w:val="nil"/>
              <w:bottom w:val="nil"/>
              <w:right w:val="nil"/>
            </w:tcBorders>
            <w:hideMark/>
          </w:tcPr>
          <w:p w14:paraId="5B9E1EC2" w14:textId="77777777" w:rsidR="002F070F" w:rsidRPr="00D80068" w:rsidRDefault="002F070F" w:rsidP="00606FA0">
            <w:pPr>
              <w:pStyle w:val="FSCtblMain"/>
            </w:pPr>
            <w:r w:rsidRPr="00D80068">
              <w:t>Energy</w:t>
            </w:r>
          </w:p>
        </w:tc>
        <w:tc>
          <w:tcPr>
            <w:tcW w:w="4207" w:type="dxa"/>
            <w:tcBorders>
              <w:top w:val="nil"/>
              <w:left w:val="nil"/>
              <w:bottom w:val="nil"/>
              <w:right w:val="nil"/>
            </w:tcBorders>
            <w:hideMark/>
          </w:tcPr>
          <w:p w14:paraId="5C0EEC8A" w14:textId="77777777" w:rsidR="002F070F" w:rsidRPr="00D80068" w:rsidRDefault="002F070F" w:rsidP="00606FA0">
            <w:pPr>
              <w:pStyle w:val="FSCtblMain"/>
            </w:pPr>
            <w:r w:rsidRPr="00D80068">
              <w:t>Average energy content per serving of the food</w:t>
            </w:r>
          </w:p>
        </w:tc>
      </w:tr>
      <w:tr w:rsidR="002F070F" w:rsidRPr="00D80068" w14:paraId="59930CF9" w14:textId="77777777" w:rsidTr="00606FA0">
        <w:trPr>
          <w:cantSplit/>
          <w:jc w:val="center"/>
        </w:trPr>
        <w:tc>
          <w:tcPr>
            <w:tcW w:w="4865" w:type="dxa"/>
            <w:tcBorders>
              <w:top w:val="nil"/>
              <w:left w:val="nil"/>
              <w:bottom w:val="nil"/>
              <w:right w:val="nil"/>
            </w:tcBorders>
            <w:hideMark/>
          </w:tcPr>
          <w:p w14:paraId="52714134" w14:textId="77777777" w:rsidR="002F070F" w:rsidRPr="00D80068" w:rsidRDefault="002F070F" w:rsidP="00606FA0">
            <w:pPr>
              <w:pStyle w:val="FSCtblMain"/>
            </w:pPr>
            <w:r w:rsidRPr="00D80068">
              <w:t>Fat-free</w:t>
            </w:r>
          </w:p>
        </w:tc>
        <w:tc>
          <w:tcPr>
            <w:tcW w:w="4207" w:type="dxa"/>
            <w:tcBorders>
              <w:top w:val="nil"/>
              <w:left w:val="nil"/>
              <w:bottom w:val="nil"/>
              <w:right w:val="nil"/>
            </w:tcBorders>
            <w:hideMark/>
          </w:tcPr>
          <w:p w14:paraId="5DDF4626" w14:textId="77777777" w:rsidR="002F070F" w:rsidRPr="00D80068" w:rsidRDefault="002F070F" w:rsidP="00606FA0">
            <w:pPr>
              <w:pStyle w:val="FSCtblMain"/>
            </w:pPr>
            <w:r w:rsidRPr="00D80068">
              <w:t>Average energy content per serving of the food</w:t>
            </w:r>
          </w:p>
        </w:tc>
      </w:tr>
      <w:tr w:rsidR="002F070F" w:rsidRPr="00D80068" w14:paraId="323E1683" w14:textId="77777777" w:rsidTr="00606FA0">
        <w:trPr>
          <w:cantSplit/>
          <w:jc w:val="center"/>
        </w:trPr>
        <w:tc>
          <w:tcPr>
            <w:tcW w:w="4865" w:type="dxa"/>
            <w:tcBorders>
              <w:top w:val="nil"/>
              <w:left w:val="nil"/>
              <w:bottom w:val="nil"/>
              <w:right w:val="nil"/>
            </w:tcBorders>
          </w:tcPr>
          <w:p w14:paraId="79659F3E" w14:textId="77777777" w:rsidR="002F070F" w:rsidRPr="00D80068" w:rsidRDefault="002F070F" w:rsidP="00606FA0">
            <w:pPr>
              <w:pStyle w:val="FSCtblMain"/>
            </w:pPr>
            <w:r w:rsidRPr="00D80068">
              <w:t>Omega-3 fatty acids</w:t>
            </w:r>
          </w:p>
        </w:tc>
        <w:tc>
          <w:tcPr>
            <w:tcW w:w="4207" w:type="dxa"/>
            <w:tcBorders>
              <w:top w:val="nil"/>
              <w:left w:val="nil"/>
              <w:bottom w:val="nil"/>
              <w:right w:val="nil"/>
            </w:tcBorders>
          </w:tcPr>
          <w:p w14:paraId="4A9B1837" w14:textId="77777777" w:rsidR="002F070F" w:rsidRPr="00D80068" w:rsidRDefault="002F070F" w:rsidP="00606FA0">
            <w:pPr>
              <w:pStyle w:val="FSCtblPara"/>
              <w:rPr>
                <w:bCs/>
              </w:rPr>
            </w:pPr>
            <w:r w:rsidRPr="00D80068">
              <w:rPr>
                <w:bCs/>
              </w:rPr>
              <w:t xml:space="preserve">(a) </w:t>
            </w:r>
            <w:r w:rsidRPr="00D80068">
              <w:rPr>
                <w:bCs/>
              </w:rPr>
              <w:tab/>
            </w:r>
            <w:r w:rsidRPr="00D80068">
              <w:t>Average quantity of *saturated fatty acids, *trans fatty acids, *polyunsaturated fatty acids and *monounsaturated fatty acids content per serving of the food</w:t>
            </w:r>
            <w:r w:rsidRPr="00D80068">
              <w:rPr>
                <w:bCs/>
              </w:rPr>
              <w:t>; and</w:t>
            </w:r>
          </w:p>
          <w:p w14:paraId="3AFCD836" w14:textId="77777777" w:rsidR="002F070F" w:rsidRPr="00D80068" w:rsidRDefault="002F070F" w:rsidP="00606FA0">
            <w:pPr>
              <w:pStyle w:val="FSCtblPara"/>
              <w:rPr>
                <w:bCs/>
              </w:rPr>
            </w:pPr>
            <w:r w:rsidRPr="00D80068">
              <w:rPr>
                <w:bCs/>
              </w:rPr>
              <w:t>(b)</w:t>
            </w:r>
            <w:r w:rsidRPr="00D80068">
              <w:rPr>
                <w:bCs/>
              </w:rPr>
              <w:tab/>
            </w:r>
            <w:r w:rsidRPr="00D80068">
              <w:t xml:space="preserve">Average quantity of each type of omega-3 fatty acids </w:t>
            </w:r>
            <w:r w:rsidRPr="00D80068">
              <w:rPr>
                <w:bCs/>
              </w:rPr>
              <w:t>per serving of the food</w:t>
            </w:r>
            <w:r w:rsidRPr="00D80068">
              <w:t xml:space="preserve"> (</w:t>
            </w:r>
            <w:r w:rsidRPr="00D80068">
              <w:rPr>
                <w:bCs/>
              </w:rPr>
              <w:t>that is, alpha</w:t>
            </w:r>
            <w:r w:rsidRPr="00D80068">
              <w:rPr>
                <w:bCs/>
              </w:rPr>
              <w:noBreakHyphen/>
              <w:t>linolenic acid, docosahexaenoic acid, eicosapentaenoic acid or a combination of these); and</w:t>
            </w:r>
          </w:p>
          <w:p w14:paraId="10FF6E7B" w14:textId="77777777" w:rsidR="002F070F" w:rsidRPr="00D80068" w:rsidRDefault="002F070F" w:rsidP="00606FA0">
            <w:pPr>
              <w:pStyle w:val="FSCtblPara"/>
              <w:rPr>
                <w:bCs/>
              </w:rPr>
            </w:pPr>
            <w:r w:rsidRPr="00D80068">
              <w:rPr>
                <w:bCs/>
              </w:rPr>
              <w:t xml:space="preserve">(c) </w:t>
            </w:r>
            <w:r w:rsidRPr="00D80068">
              <w:rPr>
                <w:bCs/>
              </w:rPr>
              <w:tab/>
            </w:r>
            <w:r w:rsidRPr="00D80068">
              <w:t>Average quantity of the total of omega-3 fatty acids per serving of the food</w:t>
            </w:r>
          </w:p>
        </w:tc>
      </w:tr>
      <w:tr w:rsidR="002F070F" w:rsidRPr="00D80068" w14:paraId="617FD7F0" w14:textId="77777777" w:rsidTr="00606FA0">
        <w:trPr>
          <w:cantSplit/>
          <w:jc w:val="center"/>
        </w:trPr>
        <w:tc>
          <w:tcPr>
            <w:tcW w:w="4865" w:type="dxa"/>
            <w:tcBorders>
              <w:top w:val="nil"/>
              <w:left w:val="nil"/>
              <w:bottom w:val="nil"/>
              <w:right w:val="nil"/>
            </w:tcBorders>
          </w:tcPr>
          <w:p w14:paraId="12F2716A" w14:textId="77777777" w:rsidR="002F070F" w:rsidRPr="00CB5D78" w:rsidRDefault="002F070F" w:rsidP="00D0646F">
            <w:pPr>
              <w:pStyle w:val="FSCtblMain"/>
            </w:pPr>
            <w:r w:rsidRPr="00CB5D78">
              <w:t>Lactose</w:t>
            </w:r>
          </w:p>
        </w:tc>
        <w:tc>
          <w:tcPr>
            <w:tcW w:w="4207" w:type="dxa"/>
            <w:tcBorders>
              <w:top w:val="nil"/>
              <w:left w:val="nil"/>
              <w:bottom w:val="nil"/>
              <w:right w:val="nil"/>
            </w:tcBorders>
          </w:tcPr>
          <w:p w14:paraId="79F5B078" w14:textId="77777777" w:rsidR="002F070F" w:rsidRPr="00D0646F" w:rsidRDefault="002F070F" w:rsidP="00D0646F">
            <w:pPr>
              <w:pStyle w:val="FSCtblMain"/>
            </w:pPr>
            <w:r w:rsidRPr="00D0646F">
              <w:t>Average quantity of galactose content per serving of the food</w:t>
            </w:r>
          </w:p>
        </w:tc>
      </w:tr>
      <w:tr w:rsidR="002F070F" w:rsidRPr="00D80068" w14:paraId="2D0930DB" w14:textId="77777777" w:rsidTr="00606FA0">
        <w:trPr>
          <w:cantSplit/>
          <w:jc w:val="center"/>
        </w:trPr>
        <w:tc>
          <w:tcPr>
            <w:tcW w:w="4865" w:type="dxa"/>
            <w:tcBorders>
              <w:top w:val="nil"/>
              <w:left w:val="nil"/>
              <w:bottom w:val="nil"/>
              <w:right w:val="nil"/>
            </w:tcBorders>
          </w:tcPr>
          <w:p w14:paraId="008C050F" w14:textId="77777777" w:rsidR="002F070F" w:rsidRPr="00CB5D78" w:rsidRDefault="002F070F" w:rsidP="00D0646F">
            <w:pPr>
              <w:pStyle w:val="FSCtblMain"/>
            </w:pPr>
            <w:r w:rsidRPr="00CB5D78">
              <w:t>Potassium</w:t>
            </w:r>
          </w:p>
        </w:tc>
        <w:tc>
          <w:tcPr>
            <w:tcW w:w="4207" w:type="dxa"/>
            <w:tcBorders>
              <w:top w:val="nil"/>
              <w:left w:val="nil"/>
              <w:bottom w:val="nil"/>
              <w:right w:val="nil"/>
            </w:tcBorders>
          </w:tcPr>
          <w:p w14:paraId="16AAAF06" w14:textId="77777777" w:rsidR="002F070F" w:rsidRPr="00D0646F" w:rsidRDefault="002F070F" w:rsidP="00D0646F">
            <w:pPr>
              <w:pStyle w:val="FSCtblMain"/>
            </w:pPr>
            <w:r w:rsidRPr="00D0646F">
              <w:t>Average quantity of sodium content per serving of the food</w:t>
            </w:r>
          </w:p>
        </w:tc>
      </w:tr>
      <w:tr w:rsidR="002F070F" w:rsidRPr="00D80068" w14:paraId="68A0647D" w14:textId="77777777" w:rsidTr="00606FA0">
        <w:trPr>
          <w:cantSplit/>
          <w:jc w:val="center"/>
        </w:trPr>
        <w:tc>
          <w:tcPr>
            <w:tcW w:w="4865" w:type="dxa"/>
            <w:tcBorders>
              <w:top w:val="nil"/>
              <w:left w:val="nil"/>
              <w:bottom w:val="single" w:sz="4" w:space="0" w:color="auto"/>
              <w:right w:val="nil"/>
            </w:tcBorders>
          </w:tcPr>
          <w:p w14:paraId="54A3FEF6" w14:textId="77777777" w:rsidR="002F070F" w:rsidRPr="00D80068" w:rsidRDefault="002F070F" w:rsidP="00CB5D78">
            <w:pPr>
              <w:pStyle w:val="FSCtblMain"/>
            </w:pPr>
            <w:r w:rsidRPr="00D80068">
              <w:t>Sodium or salt</w:t>
            </w:r>
          </w:p>
        </w:tc>
        <w:tc>
          <w:tcPr>
            <w:tcW w:w="4207" w:type="dxa"/>
            <w:tcBorders>
              <w:top w:val="nil"/>
              <w:left w:val="nil"/>
              <w:bottom w:val="single" w:sz="4" w:space="0" w:color="auto"/>
              <w:right w:val="nil"/>
            </w:tcBorders>
          </w:tcPr>
          <w:p w14:paraId="32790ACF" w14:textId="77777777" w:rsidR="002F070F" w:rsidRPr="00D80068" w:rsidRDefault="002F070F" w:rsidP="00CB5D78">
            <w:pPr>
              <w:pStyle w:val="FSCtblMain"/>
            </w:pPr>
            <w:r w:rsidRPr="00D80068">
              <w:t>Average quantity of sodium and potassium content per serving of the food</w:t>
            </w:r>
          </w:p>
        </w:tc>
      </w:tr>
    </w:tbl>
    <w:p w14:paraId="6C3BFF93" w14:textId="77777777" w:rsidR="002F070F" w:rsidRPr="002D3B8C" w:rsidRDefault="002F070F" w:rsidP="002F070F">
      <w:pPr>
        <w:jc w:val="right"/>
        <w:rPr>
          <w:sz w:val="20"/>
        </w:rPr>
      </w:pPr>
      <w:bookmarkStart w:id="148" w:name="_Toc414880389"/>
      <w:bookmarkStart w:id="149" w:name="_Toc418576476"/>
      <w:r w:rsidRPr="002D3B8C">
        <w:rPr>
          <w:rFonts w:eastAsia="Calibri"/>
          <w:sz w:val="20"/>
        </w:rPr>
        <w:t>”</w:t>
      </w:r>
    </w:p>
    <w:p w14:paraId="54C8A762" w14:textId="77777777" w:rsidR="002F070F" w:rsidRPr="002D3B8C" w:rsidRDefault="002F070F" w:rsidP="00F63C2C">
      <w:pPr>
        <w:pStyle w:val="Heading2"/>
      </w:pPr>
      <w:r w:rsidRPr="002D3B8C">
        <w:br w:type="page"/>
      </w:r>
    </w:p>
    <w:p w14:paraId="30CA338B" w14:textId="77777777" w:rsidR="002F070F" w:rsidRPr="000B6A51" w:rsidRDefault="002F070F" w:rsidP="005B06CC">
      <w:pPr>
        <w:pStyle w:val="FSCh2Part"/>
      </w:pPr>
      <w:bookmarkStart w:id="150" w:name="_Toc420053004"/>
      <w:bookmarkStart w:id="151" w:name="_Toc428369914"/>
      <w:bookmarkStart w:id="152" w:name="_Toc428861621"/>
      <w:r w:rsidRPr="000B6A51">
        <w:lastRenderedPageBreak/>
        <w:t>Explanatory Statement</w:t>
      </w:r>
      <w:bookmarkEnd w:id="148"/>
      <w:bookmarkEnd w:id="150"/>
      <w:bookmarkEnd w:id="151"/>
      <w:bookmarkEnd w:id="152"/>
      <w:r w:rsidRPr="000B6A51">
        <w:t xml:space="preserve"> </w:t>
      </w:r>
      <w:bookmarkEnd w:id="149"/>
    </w:p>
    <w:p w14:paraId="58282646" w14:textId="77777777" w:rsidR="002F070F" w:rsidRPr="000B6A51" w:rsidRDefault="002F070F" w:rsidP="002F070F">
      <w:pPr>
        <w:rPr>
          <w:b/>
          <w:color w:val="000000"/>
          <w:lang w:val="en-AU" w:eastAsia="en-GB" w:bidi="ar-SA"/>
        </w:rPr>
      </w:pPr>
      <w:r w:rsidRPr="000B6A51">
        <w:rPr>
          <w:b/>
          <w:color w:val="000000"/>
          <w:lang w:val="en-AU" w:eastAsia="en-GB" w:bidi="ar-SA"/>
        </w:rPr>
        <w:t>1.</w:t>
      </w:r>
      <w:r w:rsidRPr="000B6A51">
        <w:rPr>
          <w:b/>
          <w:color w:val="000000"/>
          <w:lang w:val="en-AU" w:eastAsia="en-GB" w:bidi="ar-SA"/>
        </w:rPr>
        <w:tab/>
        <w:t>Authority</w:t>
      </w:r>
    </w:p>
    <w:p w14:paraId="17512FE9" w14:textId="77777777" w:rsidR="002F070F" w:rsidRPr="000B6A51" w:rsidRDefault="002F070F" w:rsidP="002F070F">
      <w:pPr>
        <w:rPr>
          <w:color w:val="000000"/>
          <w:lang w:val="en-AU" w:eastAsia="en-GB" w:bidi="ar-SA"/>
        </w:rPr>
      </w:pPr>
    </w:p>
    <w:p w14:paraId="20A7C760" w14:textId="77777777" w:rsidR="002F070F" w:rsidRPr="000B6A51" w:rsidRDefault="002F070F" w:rsidP="002F070F">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Section 13 of the </w:t>
      </w:r>
      <w:r w:rsidRPr="000B6A51">
        <w:rPr>
          <w:rFonts w:eastAsia="Calibri" w:cs="Arial"/>
          <w:bCs/>
          <w:i/>
          <w:color w:val="000000"/>
          <w:szCs w:val="22"/>
          <w:lang w:val="en-AU" w:bidi="ar-SA"/>
        </w:rPr>
        <w:t>Food Standards Australia New Zealand Act 1991</w:t>
      </w:r>
      <w:r w:rsidRPr="000B6A51">
        <w:rPr>
          <w:rFonts w:eastAsia="Calibri" w:cs="Arial"/>
          <w:bCs/>
          <w:color w:val="000000"/>
          <w:szCs w:val="22"/>
          <w:lang w:val="en-AU" w:bidi="ar-SA"/>
        </w:rPr>
        <w:t xml:space="preserve"> (the FSANZ Act) provides that the functions of Food Standards Australia New Zealand (the Authority) include the development of standards and variations of standards for inclusion in the </w:t>
      </w:r>
      <w:r w:rsidRPr="000B6A51">
        <w:rPr>
          <w:rFonts w:eastAsia="Calibri" w:cs="Arial"/>
          <w:bCs/>
          <w:i/>
          <w:color w:val="000000"/>
          <w:szCs w:val="22"/>
          <w:lang w:val="en-AU" w:bidi="ar-SA"/>
        </w:rPr>
        <w:t>Australia New Zealand Food Standards Code</w:t>
      </w:r>
      <w:r w:rsidRPr="000B6A51">
        <w:rPr>
          <w:rFonts w:eastAsia="Calibri" w:cs="Arial"/>
          <w:bCs/>
          <w:color w:val="000000"/>
          <w:szCs w:val="22"/>
          <w:lang w:val="en-AU" w:bidi="ar-SA"/>
        </w:rPr>
        <w:t xml:space="preserve"> (the Code).</w:t>
      </w:r>
    </w:p>
    <w:p w14:paraId="5F987D86" w14:textId="77777777" w:rsidR="002F070F" w:rsidRPr="000B6A51" w:rsidRDefault="002F070F" w:rsidP="002F070F">
      <w:pPr>
        <w:widowControl/>
        <w:autoSpaceDE w:val="0"/>
        <w:autoSpaceDN w:val="0"/>
        <w:adjustRightInd w:val="0"/>
        <w:rPr>
          <w:rFonts w:eastAsia="Calibri" w:cs="Arial"/>
          <w:bCs/>
          <w:color w:val="000000"/>
          <w:szCs w:val="22"/>
          <w:lang w:val="en-AU" w:bidi="ar-SA"/>
        </w:rPr>
      </w:pPr>
    </w:p>
    <w:p w14:paraId="78145ABD" w14:textId="1A617784" w:rsidR="002F070F" w:rsidRPr="000B6A51" w:rsidRDefault="002F070F" w:rsidP="002F070F">
      <w:r w:rsidRPr="000B6A51">
        <w:t xml:space="preserve">FSANZ had completed a review of the Code undertaken under Proposal P1025 in order to improve the Code’s clarity and legal efficacy. A revised Code has been approved and will commence on 1 March 2016. It will replace the </w:t>
      </w:r>
      <w:r w:rsidR="00007372">
        <w:t>current</w:t>
      </w:r>
      <w:r w:rsidRPr="000B6A51">
        <w:t xml:space="preserve"> Code, which will be repealed on that date.</w:t>
      </w:r>
    </w:p>
    <w:p w14:paraId="3FE9F56D" w14:textId="77777777" w:rsidR="002F070F" w:rsidRPr="000B6A51" w:rsidRDefault="002F070F" w:rsidP="002F070F">
      <w:pPr>
        <w:widowControl/>
        <w:autoSpaceDE w:val="0"/>
        <w:autoSpaceDN w:val="0"/>
        <w:adjustRightInd w:val="0"/>
        <w:rPr>
          <w:rFonts w:eastAsia="Calibri" w:cs="Arial"/>
          <w:bCs/>
          <w:color w:val="000000"/>
          <w:szCs w:val="22"/>
          <w:lang w:val="en-AU" w:bidi="ar-SA"/>
        </w:rPr>
      </w:pPr>
    </w:p>
    <w:p w14:paraId="0D793EAD" w14:textId="77777777" w:rsidR="002F070F" w:rsidRDefault="002F070F" w:rsidP="002F070F">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F6631C9" w14:textId="77777777" w:rsidR="002F070F" w:rsidRPr="000B6A51" w:rsidRDefault="002F070F" w:rsidP="002F070F">
      <w:pPr>
        <w:widowControl/>
        <w:autoSpaceDE w:val="0"/>
        <w:autoSpaceDN w:val="0"/>
        <w:adjustRightInd w:val="0"/>
        <w:rPr>
          <w:rFonts w:eastAsia="Calibri" w:cs="Arial"/>
          <w:bCs/>
          <w:color w:val="000000"/>
          <w:szCs w:val="22"/>
          <w:lang w:val="en-AU" w:bidi="ar-SA"/>
        </w:rPr>
      </w:pPr>
    </w:p>
    <w:p w14:paraId="0E90DC0A" w14:textId="77777777" w:rsidR="002F070F" w:rsidRPr="000B6A51" w:rsidRDefault="002F070F" w:rsidP="002F070F">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FSANZ prepared Proposal P1037 to </w:t>
      </w:r>
      <w:r w:rsidRPr="000B6A51">
        <w:rPr>
          <w:szCs w:val="22"/>
        </w:rPr>
        <w:t xml:space="preserve">improve the clarity of provisions of Standard 1.2.7 – Nutrition, Health and Related Claims and related standards </w:t>
      </w:r>
      <w:r>
        <w:rPr>
          <w:szCs w:val="22"/>
        </w:rPr>
        <w:t xml:space="preserve">and schedules to commence on 1 March 2016 </w:t>
      </w:r>
      <w:r w:rsidRPr="000B6A51">
        <w:rPr>
          <w:szCs w:val="22"/>
        </w:rPr>
        <w:t xml:space="preserve">and to ensure that Standard 1.2.7 operates as intended. </w:t>
      </w:r>
      <w:r w:rsidRPr="000B6A51">
        <w:rPr>
          <w:rFonts w:eastAsia="Calibri" w:cs="Arial"/>
          <w:bCs/>
          <w:szCs w:val="22"/>
          <w:lang w:val="en-AU" w:bidi="ar-SA"/>
        </w:rPr>
        <w:t xml:space="preserve">Proposal P1037 </w:t>
      </w:r>
      <w:r w:rsidRPr="000B6A51">
        <w:rPr>
          <w:szCs w:val="22"/>
        </w:rPr>
        <w:t xml:space="preserve">was also prepared to exempt certain elements of the Health Star Rating (HSR) system from the Code’s requirements. </w:t>
      </w:r>
    </w:p>
    <w:p w14:paraId="66563463" w14:textId="77777777" w:rsidR="002F070F" w:rsidRPr="000B6A51" w:rsidRDefault="002F070F" w:rsidP="002F070F">
      <w:pPr>
        <w:widowControl/>
        <w:autoSpaceDE w:val="0"/>
        <w:autoSpaceDN w:val="0"/>
        <w:adjustRightInd w:val="0"/>
        <w:rPr>
          <w:rFonts w:eastAsia="Calibri" w:cs="Arial"/>
          <w:bCs/>
          <w:szCs w:val="22"/>
          <w:lang w:val="en-AU" w:bidi="ar-SA"/>
        </w:rPr>
      </w:pPr>
    </w:p>
    <w:p w14:paraId="1424A21E" w14:textId="77777777" w:rsidR="002F070F" w:rsidRPr="000B6A51" w:rsidRDefault="002F070F" w:rsidP="002F070F">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The Authority considered the Proposal in accordance with Division 2 of Part 3 and has prepared draft variations to the </w:t>
      </w:r>
      <w:r>
        <w:rPr>
          <w:rFonts w:eastAsia="Calibri" w:cs="Arial"/>
          <w:bCs/>
          <w:szCs w:val="22"/>
          <w:lang w:val="en-AU" w:bidi="ar-SA"/>
        </w:rPr>
        <w:t>revised</w:t>
      </w:r>
      <w:r w:rsidRPr="000B6A51">
        <w:rPr>
          <w:rFonts w:eastAsia="Calibri" w:cs="Arial"/>
          <w:bCs/>
          <w:szCs w:val="22"/>
          <w:lang w:val="en-AU" w:bidi="ar-SA"/>
        </w:rPr>
        <w:t xml:space="preserve"> Code</w:t>
      </w:r>
      <w:r w:rsidRPr="000B6A51">
        <w:rPr>
          <w:rFonts w:eastAsia="Calibri" w:cs="Arial"/>
          <w:bCs/>
          <w:color w:val="000000"/>
          <w:lang w:val="en-AU"/>
        </w:rPr>
        <w:t>.</w:t>
      </w:r>
    </w:p>
    <w:p w14:paraId="5C6C1ECE" w14:textId="77777777" w:rsidR="002F070F" w:rsidRDefault="002F070F" w:rsidP="002F070F">
      <w:pPr>
        <w:widowControl/>
        <w:autoSpaceDE w:val="0"/>
        <w:autoSpaceDN w:val="0"/>
        <w:adjustRightInd w:val="0"/>
        <w:rPr>
          <w:rFonts w:eastAsia="Calibri" w:cs="Arial"/>
          <w:bCs/>
          <w:szCs w:val="22"/>
          <w:lang w:val="en-AU" w:bidi="ar-SA"/>
        </w:rPr>
      </w:pPr>
    </w:p>
    <w:p w14:paraId="3AE6B0BC" w14:textId="1FB790CE" w:rsidR="002F070F" w:rsidRPr="00D13E34" w:rsidRDefault="002F070F" w:rsidP="008E0C6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143DBA">
        <w:rPr>
          <w:rFonts w:ascii="ZWAdobeF" w:hAnsi="ZWAdobeF" w:cs="ZWAdobeF"/>
          <w:sz w:val="2"/>
          <w:szCs w:val="2"/>
        </w:rPr>
        <w:t>11F</w:t>
      </w:r>
      <w:r w:rsidR="008E0C66">
        <w:rPr>
          <w:rFonts w:ascii="ZWAdobeF" w:hAnsi="ZWAdobeF" w:cs="ZWAdobeF"/>
          <w:sz w:val="2"/>
          <w:szCs w:val="2"/>
        </w:rPr>
        <w:t>11F</w:t>
      </w:r>
      <w:r>
        <w:rPr>
          <w:rStyle w:val="FootnoteReference"/>
          <w:rFonts w:cs="Arial"/>
        </w:rPr>
        <w:footnoteReference w:id="13"/>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F16E55A" w14:textId="77777777" w:rsidR="002F070F" w:rsidRPr="00D13E34" w:rsidRDefault="002F070F" w:rsidP="002F070F">
      <w:pPr>
        <w:widowControl/>
        <w:autoSpaceDE w:val="0"/>
        <w:autoSpaceDN w:val="0"/>
        <w:adjustRightInd w:val="0"/>
        <w:rPr>
          <w:rFonts w:eastAsia="Calibri" w:cs="Arial"/>
          <w:bCs/>
          <w:szCs w:val="22"/>
          <w:lang w:val="en-AU" w:bidi="ar-SA"/>
        </w:rPr>
      </w:pPr>
    </w:p>
    <w:p w14:paraId="6C698B5A" w14:textId="77777777" w:rsidR="002F070F" w:rsidRPr="00D13E34" w:rsidRDefault="002F070F" w:rsidP="002F070F">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2813FDD9" w14:textId="77777777" w:rsidR="002F070F" w:rsidRPr="000B6A51" w:rsidRDefault="002F070F" w:rsidP="002F070F">
      <w:pPr>
        <w:widowControl/>
        <w:autoSpaceDE w:val="0"/>
        <w:autoSpaceDN w:val="0"/>
        <w:adjustRightInd w:val="0"/>
        <w:rPr>
          <w:rFonts w:eastAsia="Calibri" w:cs="Arial"/>
          <w:bCs/>
          <w:szCs w:val="22"/>
          <w:lang w:val="en-AU" w:bidi="ar-SA"/>
        </w:rPr>
      </w:pPr>
    </w:p>
    <w:p w14:paraId="21FE34F1" w14:textId="77777777" w:rsidR="002F070F" w:rsidRPr="000B6A51" w:rsidRDefault="002F070F" w:rsidP="002F070F">
      <w:pPr>
        <w:rPr>
          <w:b/>
          <w:lang w:val="en-AU" w:eastAsia="en-GB" w:bidi="ar-SA"/>
        </w:rPr>
      </w:pPr>
      <w:r>
        <w:rPr>
          <w:b/>
          <w:lang w:val="en-AU" w:eastAsia="en-GB" w:bidi="ar-SA"/>
        </w:rPr>
        <w:t>2</w:t>
      </w:r>
      <w:r w:rsidRPr="000B6A51">
        <w:rPr>
          <w:b/>
          <w:lang w:val="en-AU" w:eastAsia="en-GB" w:bidi="ar-SA"/>
        </w:rPr>
        <w:t>.</w:t>
      </w:r>
      <w:r w:rsidRPr="000B6A51">
        <w:rPr>
          <w:b/>
          <w:lang w:val="en-AU" w:eastAsia="en-GB" w:bidi="ar-SA"/>
        </w:rPr>
        <w:tab/>
        <w:t xml:space="preserve">Purpose </w:t>
      </w:r>
    </w:p>
    <w:p w14:paraId="3041C37D" w14:textId="77777777" w:rsidR="002F070F" w:rsidRPr="000B6A51" w:rsidRDefault="002F070F" w:rsidP="002F070F">
      <w:pPr>
        <w:rPr>
          <w:lang w:val="en-AU" w:eastAsia="en-GB" w:bidi="ar-SA"/>
        </w:rPr>
      </w:pPr>
    </w:p>
    <w:p w14:paraId="65F56641" w14:textId="77777777" w:rsidR="002F070F" w:rsidRDefault="002F070F" w:rsidP="002F070F">
      <w:r w:rsidRPr="000B6A51">
        <w:rPr>
          <w:lang w:val="en-AU" w:eastAsia="en-GB" w:bidi="ar-SA"/>
        </w:rPr>
        <w:t xml:space="preserve">The Authority has prepared a draft variation to amend the Code </w:t>
      </w:r>
      <w:r w:rsidRPr="000B6A51">
        <w:t xml:space="preserve">to clarify the operation of Standard 1.2.7 and related standards </w:t>
      </w:r>
      <w:r>
        <w:t xml:space="preserve">and schedules </w:t>
      </w:r>
      <w:r w:rsidRPr="000B6A51">
        <w:t>and to exempt certain elements of the HSR system from the Code’s requirements for claims.</w:t>
      </w:r>
    </w:p>
    <w:p w14:paraId="1260AF45" w14:textId="77777777" w:rsidR="002F070F" w:rsidRPr="000B6A51" w:rsidRDefault="002F070F" w:rsidP="002F070F">
      <w:pPr>
        <w:rPr>
          <w:color w:val="000000"/>
          <w:lang w:val="en-AU" w:eastAsia="en-GB" w:bidi="ar-SA"/>
        </w:rPr>
      </w:pPr>
    </w:p>
    <w:p w14:paraId="2230B3DF" w14:textId="77777777" w:rsidR="002F070F" w:rsidRPr="000B6A51" w:rsidRDefault="002F070F" w:rsidP="002F070F">
      <w:pPr>
        <w:widowControl/>
        <w:rPr>
          <w:b/>
          <w:color w:val="000000"/>
          <w:lang w:val="en-AU" w:eastAsia="en-GB" w:bidi="ar-SA"/>
        </w:rPr>
      </w:pPr>
      <w:r>
        <w:rPr>
          <w:b/>
          <w:color w:val="000000"/>
          <w:lang w:val="en-AU" w:eastAsia="en-GB" w:bidi="ar-SA"/>
        </w:rPr>
        <w:t>3</w:t>
      </w:r>
      <w:r w:rsidRPr="000B6A51">
        <w:rPr>
          <w:b/>
          <w:color w:val="000000"/>
          <w:lang w:val="en-AU" w:eastAsia="en-GB" w:bidi="ar-SA"/>
        </w:rPr>
        <w:t>.</w:t>
      </w:r>
      <w:r w:rsidRPr="000B6A51">
        <w:rPr>
          <w:b/>
          <w:color w:val="000000"/>
          <w:lang w:val="en-AU" w:eastAsia="en-GB" w:bidi="ar-SA"/>
        </w:rPr>
        <w:tab/>
        <w:t>Documents incorporated by reference</w:t>
      </w:r>
    </w:p>
    <w:p w14:paraId="417148A1" w14:textId="77777777" w:rsidR="002F070F" w:rsidRPr="000B6A51" w:rsidRDefault="002F070F" w:rsidP="002F070F">
      <w:pPr>
        <w:rPr>
          <w:color w:val="000000"/>
          <w:lang w:val="en-AU" w:eastAsia="en-GB" w:bidi="ar-SA"/>
        </w:rPr>
      </w:pPr>
    </w:p>
    <w:p w14:paraId="31FC216E" w14:textId="77777777" w:rsidR="002F070F" w:rsidRPr="000B6A51" w:rsidRDefault="002F070F" w:rsidP="002F070F">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The variations to food regulatory measures do not incorporate any documents by reference.</w:t>
      </w:r>
    </w:p>
    <w:p w14:paraId="309B43BE" w14:textId="77777777" w:rsidR="002F070F" w:rsidRPr="000B6A51" w:rsidRDefault="002F070F" w:rsidP="002F070F">
      <w:pPr>
        <w:rPr>
          <w:color w:val="000000"/>
          <w:lang w:val="en-AU" w:eastAsia="en-GB" w:bidi="ar-SA"/>
        </w:rPr>
      </w:pPr>
    </w:p>
    <w:p w14:paraId="4F828E23" w14:textId="77777777" w:rsidR="002F070F" w:rsidRPr="000B6A51" w:rsidRDefault="002F070F" w:rsidP="002F070F">
      <w:pPr>
        <w:rPr>
          <w:b/>
          <w:color w:val="000000"/>
          <w:lang w:val="en-AU" w:eastAsia="en-GB" w:bidi="ar-SA"/>
        </w:rPr>
      </w:pPr>
      <w:r>
        <w:rPr>
          <w:b/>
          <w:color w:val="000000"/>
          <w:lang w:val="en-AU" w:eastAsia="en-GB" w:bidi="ar-SA"/>
        </w:rPr>
        <w:t>4</w:t>
      </w:r>
      <w:r w:rsidRPr="000B6A51">
        <w:rPr>
          <w:b/>
          <w:color w:val="000000"/>
          <w:lang w:val="en-AU" w:eastAsia="en-GB" w:bidi="ar-SA"/>
        </w:rPr>
        <w:t>.</w:t>
      </w:r>
      <w:r w:rsidRPr="000B6A51">
        <w:rPr>
          <w:b/>
          <w:color w:val="000000"/>
          <w:lang w:val="en-AU" w:eastAsia="en-GB" w:bidi="ar-SA"/>
        </w:rPr>
        <w:tab/>
        <w:t>Consultation</w:t>
      </w:r>
    </w:p>
    <w:p w14:paraId="5E93C4CE" w14:textId="77777777" w:rsidR="002F070F" w:rsidRPr="000B6A51" w:rsidRDefault="002F070F" w:rsidP="002F070F">
      <w:pPr>
        <w:rPr>
          <w:color w:val="000000"/>
          <w:lang w:val="en-AU" w:eastAsia="en-GB" w:bidi="ar-SA"/>
        </w:rPr>
      </w:pPr>
    </w:p>
    <w:p w14:paraId="65F208D9" w14:textId="4484AA47" w:rsidR="00F63C2C" w:rsidRDefault="002F070F" w:rsidP="002F070F">
      <w:pPr>
        <w:rPr>
          <w:szCs w:val="22"/>
        </w:rPr>
      </w:pPr>
      <w:r w:rsidRPr="000B6A51">
        <w:rPr>
          <w:szCs w:val="22"/>
        </w:rPr>
        <w:t xml:space="preserve">In accordance with the procedure in Division 2 of Part 3 of the FSANZ Act, </w:t>
      </w:r>
      <w:r w:rsidRPr="000B6A51">
        <w:rPr>
          <w:rFonts w:eastAsia="Calibri" w:cs="Arial"/>
          <w:bCs/>
          <w:szCs w:val="22"/>
          <w:lang w:val="en-AU" w:bidi="ar-SA"/>
        </w:rPr>
        <w:t>the Authority</w:t>
      </w:r>
      <w:r w:rsidRPr="000B6A51">
        <w:rPr>
          <w:szCs w:val="22"/>
        </w:rPr>
        <w:t>’s consideration of Proposal P1037 include</w:t>
      </w:r>
      <w:r>
        <w:rPr>
          <w:szCs w:val="22"/>
        </w:rPr>
        <w:t>d</w:t>
      </w:r>
      <w:r w:rsidRPr="000B6A51">
        <w:rPr>
          <w:szCs w:val="22"/>
        </w:rPr>
        <w:t xml:space="preserve"> one round of public consultation following an assessment and the preparation of a draft Standard and associated report. </w:t>
      </w:r>
      <w:r w:rsidR="00F63C2C">
        <w:rPr>
          <w:szCs w:val="22"/>
        </w:rPr>
        <w:br w:type="page"/>
      </w:r>
    </w:p>
    <w:p w14:paraId="6A01A098" w14:textId="0D200ED8" w:rsidR="002F070F" w:rsidRPr="000B6A51" w:rsidRDefault="002F070F" w:rsidP="002F070F">
      <w:pPr>
        <w:rPr>
          <w:lang w:val="en-AU"/>
        </w:rPr>
      </w:pPr>
      <w:r w:rsidRPr="000B6A51">
        <w:rPr>
          <w:szCs w:val="22"/>
        </w:rPr>
        <w:lastRenderedPageBreak/>
        <w:t xml:space="preserve">A call for </w:t>
      </w:r>
      <w:r w:rsidR="00D0646F">
        <w:rPr>
          <w:szCs w:val="22"/>
        </w:rPr>
        <w:t>s</w:t>
      </w:r>
      <w:r w:rsidRPr="000B6A51">
        <w:rPr>
          <w:szCs w:val="22"/>
        </w:rPr>
        <w:t>ubmissions (which include</w:t>
      </w:r>
      <w:r w:rsidR="00D0646F">
        <w:rPr>
          <w:szCs w:val="22"/>
        </w:rPr>
        <w:t>d</w:t>
      </w:r>
      <w:r w:rsidRPr="000B6A51">
        <w:rPr>
          <w:szCs w:val="22"/>
        </w:rPr>
        <w:t xml:space="preserve"> the draft variation) </w:t>
      </w:r>
      <w:r>
        <w:rPr>
          <w:szCs w:val="22"/>
        </w:rPr>
        <w:t>was</w:t>
      </w:r>
      <w:r w:rsidRPr="000B6A51">
        <w:rPr>
          <w:szCs w:val="22"/>
        </w:rPr>
        <w:t xml:space="preserve"> released for a six-week consultation period. </w:t>
      </w:r>
    </w:p>
    <w:p w14:paraId="5B7ACF38" w14:textId="77777777" w:rsidR="002F070F" w:rsidRPr="000B6A51" w:rsidRDefault="002F070F" w:rsidP="002F070F">
      <w:pPr>
        <w:rPr>
          <w:rFonts w:eastAsia="Calibri"/>
          <w:lang w:val="en-AU" w:bidi="ar-SA"/>
        </w:rPr>
      </w:pPr>
    </w:p>
    <w:p w14:paraId="116C75AE" w14:textId="77777777" w:rsidR="002F070F" w:rsidRDefault="002F070F" w:rsidP="002F070F">
      <w:pPr>
        <w:rPr>
          <w:rFonts w:eastAsia="Calibri" w:cs="Arial"/>
          <w:bCs/>
          <w:szCs w:val="22"/>
          <w:lang w:val="en-AU" w:bidi="ar-SA"/>
        </w:rPr>
      </w:pPr>
      <w:r w:rsidRPr="000B6A51">
        <w:rPr>
          <w:rFonts w:eastAsia="Calibri" w:cs="Arial"/>
          <w:bCs/>
          <w:szCs w:val="22"/>
          <w:lang w:val="en-AU" w:bidi="ar-SA"/>
        </w:rPr>
        <w:t xml:space="preserve">A Regulation Impact Statement was not required because the proposed variations are likely to have </w:t>
      </w:r>
      <w:r>
        <w:rPr>
          <w:rFonts w:eastAsia="Calibri" w:cs="Arial"/>
          <w:bCs/>
          <w:szCs w:val="22"/>
          <w:lang w:val="en-AU" w:bidi="ar-SA"/>
        </w:rPr>
        <w:t xml:space="preserve">only </w:t>
      </w:r>
      <w:r w:rsidRPr="000B6A51">
        <w:rPr>
          <w:rFonts w:eastAsia="Calibri" w:cs="Arial"/>
          <w:bCs/>
          <w:szCs w:val="22"/>
          <w:lang w:val="en-AU" w:bidi="ar-SA"/>
        </w:rPr>
        <w:t xml:space="preserve">a minor regulatory impact on business, community organisations or individuals. </w:t>
      </w:r>
    </w:p>
    <w:p w14:paraId="08EB61FD" w14:textId="77777777" w:rsidR="002F070F" w:rsidRPr="000B6A51" w:rsidRDefault="002F070F" w:rsidP="002F070F">
      <w:pPr>
        <w:rPr>
          <w:color w:val="000000"/>
          <w:lang w:val="en-AU" w:eastAsia="en-GB" w:bidi="ar-SA"/>
        </w:rPr>
      </w:pPr>
    </w:p>
    <w:p w14:paraId="491AEF37" w14:textId="77777777" w:rsidR="002F070F" w:rsidRPr="000B6A51" w:rsidRDefault="002F070F" w:rsidP="002F070F">
      <w:pPr>
        <w:widowControl/>
        <w:rPr>
          <w:rFonts w:eastAsia="Calibri" w:cs="Arial"/>
          <w:b/>
          <w:bCs/>
          <w:color w:val="000000"/>
          <w:szCs w:val="22"/>
          <w:lang w:val="en-AU" w:bidi="ar-SA"/>
        </w:rPr>
      </w:pPr>
      <w:r>
        <w:rPr>
          <w:rFonts w:eastAsia="Calibri" w:cs="Arial"/>
          <w:b/>
          <w:bCs/>
          <w:color w:val="000000"/>
          <w:szCs w:val="22"/>
          <w:lang w:val="en-AU" w:bidi="ar-SA"/>
        </w:rPr>
        <w:t>5</w:t>
      </w:r>
      <w:r w:rsidRPr="000B6A51">
        <w:rPr>
          <w:rFonts w:eastAsia="Calibri" w:cs="Arial"/>
          <w:b/>
          <w:bCs/>
          <w:color w:val="000000"/>
          <w:szCs w:val="22"/>
          <w:lang w:val="en-AU" w:bidi="ar-SA"/>
        </w:rPr>
        <w:t>.</w:t>
      </w:r>
      <w:r w:rsidRPr="000B6A51">
        <w:rPr>
          <w:rFonts w:eastAsia="Calibri" w:cs="Arial"/>
          <w:b/>
          <w:bCs/>
          <w:color w:val="000000"/>
          <w:szCs w:val="22"/>
          <w:lang w:val="en-AU" w:bidi="ar-SA"/>
        </w:rPr>
        <w:tab/>
        <w:t>Statement of compatibility with human rights</w:t>
      </w:r>
    </w:p>
    <w:p w14:paraId="2957F5B0" w14:textId="77777777" w:rsidR="002F070F" w:rsidRPr="000B6A51" w:rsidRDefault="002F070F" w:rsidP="002F070F">
      <w:pPr>
        <w:rPr>
          <w:rFonts w:eastAsia="Calibri"/>
          <w:lang w:val="en-AU" w:bidi="ar-SA"/>
        </w:rPr>
      </w:pPr>
    </w:p>
    <w:p w14:paraId="2E791936" w14:textId="77777777" w:rsidR="002F070F" w:rsidRPr="000B6A51" w:rsidRDefault="002F070F" w:rsidP="002F070F">
      <w:pPr>
        <w:rPr>
          <w:rFonts w:eastAsia="Calibri"/>
          <w:lang w:val="en-AU" w:bidi="ar-SA"/>
        </w:rPr>
      </w:pPr>
      <w:r w:rsidRPr="000B6A51">
        <w:rPr>
          <w:rFonts w:eastAsia="Calibri"/>
          <w:lang w:val="en-AU" w:bidi="ar-SA"/>
        </w:rPr>
        <w:t>This instrument is exempt from the requirements for a statement of compatibility with human rights as it is a non-disallowable instrument under section 94 of the FSANZ Act.</w:t>
      </w:r>
    </w:p>
    <w:p w14:paraId="76C8EFE6" w14:textId="77777777" w:rsidR="002F070F" w:rsidRPr="000B6A51" w:rsidRDefault="002F070F" w:rsidP="002F070F">
      <w:pPr>
        <w:rPr>
          <w:rFonts w:eastAsia="Calibri"/>
          <w:lang w:val="en-AU" w:bidi="ar-SA"/>
        </w:rPr>
      </w:pPr>
    </w:p>
    <w:p w14:paraId="15A84F1B" w14:textId="77777777" w:rsidR="002F070F" w:rsidRDefault="002F070F" w:rsidP="002F070F">
      <w:pPr>
        <w:rPr>
          <w:b/>
        </w:rPr>
      </w:pPr>
      <w:r>
        <w:rPr>
          <w:b/>
        </w:rPr>
        <w:t>6</w:t>
      </w:r>
      <w:r w:rsidRPr="000B6A51">
        <w:rPr>
          <w:b/>
        </w:rPr>
        <w:t>.</w:t>
      </w:r>
      <w:r w:rsidRPr="000B6A51">
        <w:rPr>
          <w:b/>
        </w:rPr>
        <w:tab/>
      </w:r>
      <w:r>
        <w:rPr>
          <w:b/>
        </w:rPr>
        <w:t>Effect of the Variations</w:t>
      </w:r>
    </w:p>
    <w:p w14:paraId="74EF7EB8" w14:textId="77777777" w:rsidR="002F070F" w:rsidRDefault="002F070F" w:rsidP="002F070F">
      <w:pPr>
        <w:rPr>
          <w:b/>
        </w:rPr>
      </w:pPr>
    </w:p>
    <w:p w14:paraId="22DD56BA" w14:textId="1805A34C" w:rsidR="002F070F" w:rsidRDefault="002F070F" w:rsidP="002F070F">
      <w:r>
        <w:t>Section 1.1.1</w:t>
      </w:r>
      <w:r w:rsidRPr="00113C17">
        <w:t>—</w:t>
      </w:r>
      <w:r>
        <w:t>9</w:t>
      </w:r>
      <w:r w:rsidRPr="00190C64">
        <w:t xml:space="preserve"> </w:t>
      </w:r>
      <w:r>
        <w:t xml:space="preserve">of Standard 1.1.1 provides that </w:t>
      </w:r>
      <w:r w:rsidR="00F150B5">
        <w:t xml:space="preserve">stock-in-trade </w:t>
      </w:r>
      <w:r>
        <w:t xml:space="preserve">that does not comply with a variation to the Code may be sold for a period of 12 months if it otherwise complied with the Code before that variation commenced. The section also provides that instruments varying the Code may provide for an alternate arrangement in relation to </w:t>
      </w:r>
      <w:r w:rsidR="00F150B5">
        <w:t>stock-in-trade</w:t>
      </w:r>
      <w:r>
        <w:t>.</w:t>
      </w:r>
    </w:p>
    <w:p w14:paraId="2054D70B" w14:textId="77777777" w:rsidR="002F070F" w:rsidRDefault="002F070F" w:rsidP="002F070F"/>
    <w:p w14:paraId="71CA80AF" w14:textId="77777777" w:rsidR="002F070F" w:rsidRDefault="002F070F" w:rsidP="002F070F">
      <w:r>
        <w:t xml:space="preserve">Clause 4 of the instrument </w:t>
      </w:r>
      <w:r w:rsidRPr="00584AF3">
        <w:t>provide</w:t>
      </w:r>
      <w:r>
        <w:t>s</w:t>
      </w:r>
      <w:r w:rsidRPr="00584AF3">
        <w:t xml:space="preserve"> </w:t>
      </w:r>
      <w:r>
        <w:t>that section 1.1.1</w:t>
      </w:r>
      <w:r w:rsidRPr="00113C17">
        <w:t>—</w:t>
      </w:r>
      <w:r>
        <w:t>9</w:t>
      </w:r>
      <w:r w:rsidRPr="00190C64">
        <w:t xml:space="preserve"> </w:t>
      </w:r>
      <w:r>
        <w:t>of Standard 1.1.1 does not apply to the variations made by the instrument other than the variations made by items 1, 2 and 3.1 of the Schedule to the instrument (see below).</w:t>
      </w:r>
    </w:p>
    <w:p w14:paraId="00B7A28E" w14:textId="77777777" w:rsidR="002F070F" w:rsidRDefault="002F070F" w:rsidP="002F070F"/>
    <w:p w14:paraId="1FE3C122" w14:textId="2D87D66C" w:rsidR="002F070F" w:rsidRDefault="002F070F" w:rsidP="002F070F">
      <w:r>
        <w:t xml:space="preserve">The clause provides for </w:t>
      </w:r>
      <w:r w:rsidRPr="00584AF3">
        <w:t xml:space="preserve">a transition period </w:t>
      </w:r>
      <w:r>
        <w:t xml:space="preserve">and for a different </w:t>
      </w:r>
      <w:r w:rsidR="00F150B5">
        <w:t xml:space="preserve">stock-in-trade </w:t>
      </w:r>
      <w:r>
        <w:t>exemption in relation to those</w:t>
      </w:r>
      <w:r w:rsidRPr="00584AF3">
        <w:t xml:space="preserve"> </w:t>
      </w:r>
      <w:r>
        <w:t>variations.</w:t>
      </w:r>
    </w:p>
    <w:p w14:paraId="7F74FAE2" w14:textId="77777777" w:rsidR="002F070F" w:rsidRDefault="002F070F" w:rsidP="002F070F"/>
    <w:p w14:paraId="45C9AB05" w14:textId="77777777" w:rsidR="002F070F" w:rsidRDefault="002F070F" w:rsidP="002F070F">
      <w:r>
        <w:t>During the transition period,</w:t>
      </w:r>
      <w:r w:rsidRPr="00584AF3">
        <w:t xml:space="preserve"> food </w:t>
      </w:r>
      <w:r>
        <w:t>can</w:t>
      </w:r>
      <w:r w:rsidRPr="00584AF3">
        <w:t xml:space="preserve"> comply with </w:t>
      </w:r>
      <w:r>
        <w:t>either the Code as in force as if those</w:t>
      </w:r>
      <w:r w:rsidRPr="00584AF3">
        <w:t xml:space="preserve"> variations </w:t>
      </w:r>
      <w:r>
        <w:t>had not taken effect or with the Code as amended by those variations, but not both.</w:t>
      </w:r>
      <w:r w:rsidRPr="00584AF3">
        <w:t xml:space="preserve"> The transition period is from </w:t>
      </w:r>
      <w:r>
        <w:t>1 March 2016 to 18 January 2017</w:t>
      </w:r>
      <w:r w:rsidRPr="00584AF3">
        <w:t xml:space="preserve">. This period aligns with the current transition period for Standard 1.2.7. </w:t>
      </w:r>
    </w:p>
    <w:p w14:paraId="64B2CB16" w14:textId="77777777" w:rsidR="002F070F" w:rsidRDefault="002F070F" w:rsidP="002F070F"/>
    <w:p w14:paraId="3A25F6E4" w14:textId="3AD243DB" w:rsidR="002F070F" w:rsidRPr="00584AF3" w:rsidRDefault="002F070F" w:rsidP="002F070F">
      <w:r>
        <w:t xml:space="preserve">The exemption for </w:t>
      </w:r>
      <w:r w:rsidR="00F150B5">
        <w:t xml:space="preserve">stock-in-trade </w:t>
      </w:r>
      <w:r>
        <w:t xml:space="preserve">will operate from 18 January 2017 for a period of 12 months. In this period, food that does not comply with the Code as amended by the relevant amendments will be deemed to be compliant with the Code if that food otherwise complied with the Code before 18 January 2017.  </w:t>
      </w:r>
    </w:p>
    <w:p w14:paraId="5D7D51E2" w14:textId="77777777" w:rsidR="002F070F" w:rsidRDefault="002F070F" w:rsidP="002F070F">
      <w:pPr>
        <w:rPr>
          <w:b/>
        </w:rPr>
      </w:pPr>
    </w:p>
    <w:p w14:paraId="2BBB28C3" w14:textId="77777777" w:rsidR="002F070F" w:rsidRPr="000B6A51" w:rsidRDefault="002F070F" w:rsidP="002F070F">
      <w:pPr>
        <w:rPr>
          <w:b/>
          <w:lang w:val="en-AU" w:eastAsia="en-GB" w:bidi="ar-SA"/>
        </w:rPr>
      </w:pPr>
      <w:r>
        <w:rPr>
          <w:b/>
        </w:rPr>
        <w:t xml:space="preserve">7. </w:t>
      </w:r>
      <w:r>
        <w:rPr>
          <w:b/>
        </w:rPr>
        <w:tab/>
      </w:r>
      <w:r w:rsidRPr="000B6A51">
        <w:rPr>
          <w:b/>
          <w:lang w:val="en-AU" w:eastAsia="en-GB" w:bidi="ar-SA"/>
        </w:rPr>
        <w:t>Variation</w:t>
      </w:r>
      <w:r>
        <w:rPr>
          <w:b/>
          <w:lang w:val="en-AU" w:eastAsia="en-GB" w:bidi="ar-SA"/>
        </w:rPr>
        <w:t>s</w:t>
      </w:r>
    </w:p>
    <w:p w14:paraId="46179CA1" w14:textId="77777777" w:rsidR="002F070F" w:rsidRPr="000B6A51" w:rsidRDefault="002F070F" w:rsidP="002F070F">
      <w:pPr>
        <w:rPr>
          <w:b/>
        </w:rPr>
      </w:pPr>
    </w:p>
    <w:p w14:paraId="12E09386" w14:textId="77777777" w:rsidR="002F070F" w:rsidRDefault="002F070F" w:rsidP="002F070F">
      <w:r w:rsidRPr="000B6A51">
        <w:t xml:space="preserve">Item [1] of the Schedule varies Standard 1.1.2. </w:t>
      </w:r>
    </w:p>
    <w:p w14:paraId="4C8836A6" w14:textId="77777777" w:rsidR="002F070F" w:rsidRPr="000B6A51" w:rsidRDefault="002F070F" w:rsidP="002F070F"/>
    <w:p w14:paraId="20A55646" w14:textId="77777777" w:rsidR="002F070F" w:rsidRDefault="002F070F" w:rsidP="002F070F">
      <w:pPr>
        <w:rPr>
          <w:szCs w:val="22"/>
        </w:rPr>
      </w:pPr>
      <w:r w:rsidRPr="00190C64">
        <w:t>Item [1.1] inserts new section 1.1.2</w:t>
      </w:r>
      <w:r w:rsidRPr="00113C17">
        <w:t>—</w:t>
      </w:r>
      <w:r w:rsidRPr="00190C64">
        <w:t>15 into Standard 1.1.2 to provide a definition of the term ‘Permitted Health Star Rating symbol’. Section 1.1.2</w:t>
      </w:r>
      <w:r w:rsidRPr="00113C17">
        <w:t>—</w:t>
      </w:r>
      <w:r w:rsidRPr="00190C64">
        <w:t>15 provides that a Permitted Health Star Rating symbol means an image subject to Australian Trade Marks numbered 1641445, 1641446 or 1641447</w:t>
      </w:r>
      <w:r>
        <w:t xml:space="preserve"> or to a New Zealand Trade Mark </w:t>
      </w:r>
      <w:r w:rsidRPr="000B5DF9">
        <w:rPr>
          <w:szCs w:val="22"/>
        </w:rPr>
        <w:t xml:space="preserve">numbered </w:t>
      </w:r>
      <w:r w:rsidRPr="007C1771">
        <w:rPr>
          <w:szCs w:val="22"/>
        </w:rPr>
        <w:t>1018807, 1018808 or 1018809</w:t>
      </w:r>
      <w:r w:rsidRPr="00190C64">
        <w:t>. Section 1.1.2</w:t>
      </w:r>
      <w:r w:rsidRPr="00113C17">
        <w:t>—</w:t>
      </w:r>
      <w:r w:rsidRPr="00190C64">
        <w:t>15 recognises the fact that the Health Star Rating system and the relevant trademarks provide for the trademarked images to be used to indicate varying levels of energy or nutrient content. The section makes clear that any such variations do not affect an image’s status as a Permitted Health Star Rating symbol for the purposes of the Code.</w:t>
      </w:r>
    </w:p>
    <w:p w14:paraId="01EB785A" w14:textId="77777777" w:rsidR="002F070F" w:rsidRPr="00190C64" w:rsidRDefault="002F070F" w:rsidP="002F070F">
      <w:pPr>
        <w:pStyle w:val="ListParagraph"/>
        <w:ind w:left="360"/>
        <w:rPr>
          <w:szCs w:val="22"/>
        </w:rPr>
      </w:pPr>
    </w:p>
    <w:p w14:paraId="4174BBA9" w14:textId="77777777" w:rsidR="002F070F" w:rsidRDefault="002F070F" w:rsidP="002F070F">
      <w:r w:rsidRPr="000B6A51">
        <w:t xml:space="preserve">Item [2] of the Schedule varies </w:t>
      </w:r>
      <w:r>
        <w:t>Standard 1.2.7</w:t>
      </w:r>
    </w:p>
    <w:p w14:paraId="36500742" w14:textId="77777777" w:rsidR="002F070F" w:rsidRDefault="002F070F" w:rsidP="002F070F"/>
    <w:p w14:paraId="373336AF" w14:textId="77777777" w:rsidR="002F070F" w:rsidRDefault="002F070F" w:rsidP="002F070F">
      <w:r>
        <w:t xml:space="preserve">Item [2.2] inserts a Note after section </w:t>
      </w:r>
      <w:r w:rsidRPr="000B6A51">
        <w:t>1.2.7</w:t>
      </w:r>
      <w:r w:rsidRPr="00CB38B0">
        <w:t>—</w:t>
      </w:r>
      <w:r>
        <w:t>3. The Note draws attention to the fact that Standard 1.2.8 may impose additional labelling requirements for claims regulated by Standard 1.2.7.</w:t>
      </w:r>
    </w:p>
    <w:p w14:paraId="42C5AAE5" w14:textId="77777777" w:rsidR="002F070F" w:rsidRDefault="002F070F" w:rsidP="002F070F"/>
    <w:p w14:paraId="6CB434BA" w14:textId="77777777" w:rsidR="00F63C2C" w:rsidRDefault="00F63C2C" w:rsidP="002F070F">
      <w:r>
        <w:br w:type="page"/>
      </w:r>
    </w:p>
    <w:p w14:paraId="3439EC6F" w14:textId="45C9E071" w:rsidR="002F070F" w:rsidRPr="000B6A51" w:rsidRDefault="002F070F" w:rsidP="002F070F">
      <w:r>
        <w:lastRenderedPageBreak/>
        <w:t>Item [2.2] varies subsection</w:t>
      </w:r>
      <w:r w:rsidRPr="000B6A51">
        <w:t xml:space="preserve"> 1.2.7</w:t>
      </w:r>
      <w:r w:rsidRPr="00CB38B0">
        <w:t>—</w:t>
      </w:r>
      <w:r w:rsidRPr="000B6A51">
        <w:t>6</w:t>
      </w:r>
      <w:r>
        <w:t xml:space="preserve"> </w:t>
      </w:r>
      <w:r w:rsidRPr="000B6A51">
        <w:t>of Standard 1.2.7 to provide that Standard</w:t>
      </w:r>
      <w:r>
        <w:t xml:space="preserve"> 1.2.7</w:t>
      </w:r>
      <w:r w:rsidRPr="000B6A51">
        <w:t xml:space="preserve"> does not apply to a Permitted Health Star Rating symbol.</w:t>
      </w:r>
    </w:p>
    <w:p w14:paraId="2D301E9D" w14:textId="77777777" w:rsidR="002F070F" w:rsidRPr="000B6A51" w:rsidRDefault="002F070F" w:rsidP="002F070F">
      <w:pPr>
        <w:pStyle w:val="ListParagraph"/>
        <w:ind w:left="360"/>
      </w:pPr>
    </w:p>
    <w:p w14:paraId="2A134108" w14:textId="77777777" w:rsidR="002F070F" w:rsidRPr="00190C64" w:rsidRDefault="002F070F" w:rsidP="002F070F">
      <w:r w:rsidRPr="00190C64">
        <w:t>Item [3] varies Standard 1.2.8.</w:t>
      </w:r>
    </w:p>
    <w:p w14:paraId="3FB29B22" w14:textId="77777777" w:rsidR="002F070F" w:rsidRPr="000B6A51" w:rsidRDefault="002F070F" w:rsidP="002F070F">
      <w:pPr>
        <w:pStyle w:val="ListParagraph"/>
        <w:ind w:left="360"/>
      </w:pPr>
    </w:p>
    <w:p w14:paraId="41F64F47" w14:textId="77777777" w:rsidR="002F070F" w:rsidRPr="000B6A51" w:rsidRDefault="002F070F" w:rsidP="002F070F">
      <w:r w:rsidRPr="000B6A51">
        <w:t xml:space="preserve">Item [3.1] varies </w:t>
      </w:r>
      <w:r>
        <w:t>section</w:t>
      </w:r>
      <w:r w:rsidRPr="000B6A51">
        <w:t xml:space="preserve"> 1.2.</w:t>
      </w:r>
      <w:r>
        <w:t>8</w:t>
      </w:r>
      <w:r w:rsidRPr="00CB38B0">
        <w:t>—</w:t>
      </w:r>
      <w:r>
        <w:t xml:space="preserve">3 </w:t>
      </w:r>
      <w:r w:rsidRPr="000B6A51">
        <w:t>to provide that Standard 1.2.</w:t>
      </w:r>
      <w:r>
        <w:t>8</w:t>
      </w:r>
      <w:r w:rsidRPr="000B6A51">
        <w:t xml:space="preserve"> does not apply to a Permitted Health Star Rating symbol. </w:t>
      </w:r>
    </w:p>
    <w:p w14:paraId="214C2E29" w14:textId="77777777" w:rsidR="002F070F" w:rsidRPr="000B6A51" w:rsidRDefault="002F070F" w:rsidP="002F070F">
      <w:pPr>
        <w:pStyle w:val="ListParagraph"/>
        <w:ind w:left="360"/>
      </w:pPr>
    </w:p>
    <w:p w14:paraId="0293ACCC" w14:textId="77777777" w:rsidR="002F070F" w:rsidRPr="00190C64" w:rsidRDefault="002F070F" w:rsidP="002F070F">
      <w:r w:rsidRPr="00190C64">
        <w:t xml:space="preserve">Item [3.2] inserts new subsections 1.2.8—6(11), (12) and (13) into section 1.2.8—6. </w:t>
      </w:r>
    </w:p>
    <w:p w14:paraId="7658AFAD" w14:textId="77777777" w:rsidR="002F070F" w:rsidRPr="00190C64" w:rsidRDefault="002F070F" w:rsidP="002F070F">
      <w:pPr>
        <w:widowControl/>
      </w:pPr>
    </w:p>
    <w:p w14:paraId="43586813" w14:textId="77777777" w:rsidR="002F070F" w:rsidRPr="00190C64" w:rsidRDefault="002F070F" w:rsidP="002F070F">
      <w:r w:rsidRPr="00190C64">
        <w:t>New subsection 1.2.8—6(11) requires that the nutrition information panel must include a declaration of the average amount of galactose where a claim requiring nutrition information is made in relation to lactose. That declaration must be made in accordance with section S12—3.</w:t>
      </w:r>
    </w:p>
    <w:p w14:paraId="319D84C8" w14:textId="77777777" w:rsidR="002F070F" w:rsidRPr="00190C64" w:rsidRDefault="002F070F" w:rsidP="002F070F">
      <w:pPr>
        <w:pStyle w:val="ListParagraph"/>
        <w:ind w:left="360"/>
      </w:pPr>
    </w:p>
    <w:p w14:paraId="02FBCB5F" w14:textId="77777777" w:rsidR="002F070F" w:rsidRPr="00190C64" w:rsidRDefault="002F070F" w:rsidP="002F070F">
      <w:r w:rsidRPr="00190C64">
        <w:t>New subsection 1.2.8—6(12) requires that the nutrition information panel must include a declaration of the average amount of potassium where a claim requiring nutrition information is made in relation to salt or sodium. That declaration must be made in accordance with section S12—3.</w:t>
      </w:r>
    </w:p>
    <w:p w14:paraId="10B59F68" w14:textId="77777777" w:rsidR="002F070F" w:rsidRPr="000B6A51" w:rsidRDefault="002F070F" w:rsidP="002F070F">
      <w:pPr>
        <w:rPr>
          <w:szCs w:val="22"/>
        </w:rPr>
      </w:pPr>
    </w:p>
    <w:p w14:paraId="22B10C7C" w14:textId="77777777" w:rsidR="002F070F" w:rsidRPr="00190C64" w:rsidRDefault="002F070F" w:rsidP="002F070F">
      <w:r w:rsidRPr="00190C64">
        <w:t xml:space="preserve">New subsection 1.2.8—6(13)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section S12—3. </w:t>
      </w:r>
    </w:p>
    <w:p w14:paraId="7D38C843" w14:textId="77777777" w:rsidR="002F070F" w:rsidRPr="00190C64" w:rsidRDefault="002F070F" w:rsidP="002F070F"/>
    <w:p w14:paraId="06679CAB" w14:textId="77777777" w:rsidR="002F070F" w:rsidRPr="000B6A51" w:rsidRDefault="002F070F" w:rsidP="002F070F">
      <w:r w:rsidRPr="000B6A51">
        <w:t>Item [3.</w:t>
      </w:r>
      <w:r>
        <w:t>3</w:t>
      </w:r>
      <w:r w:rsidRPr="000B6A51">
        <w:t>] varies paragraph 1.2.8</w:t>
      </w:r>
      <w:r w:rsidRPr="00CB38B0">
        <w:t>—</w:t>
      </w:r>
      <w:r w:rsidRPr="000B6A51">
        <w:t>14(1)(c). It replaces ‘of unavailable carbohydrate (not including dietary fibre)’ with ‘of the average quantity of unavailable carbohydrate (not including dietary fibre) per serving of the food’.</w:t>
      </w:r>
    </w:p>
    <w:p w14:paraId="4FF1F601" w14:textId="77777777" w:rsidR="002F070F" w:rsidRPr="000B6A51" w:rsidRDefault="002F070F" w:rsidP="002F070F"/>
    <w:p w14:paraId="107772D0" w14:textId="77777777" w:rsidR="002F070F" w:rsidRPr="000B6A51" w:rsidRDefault="002F070F" w:rsidP="002F070F">
      <w:r w:rsidRPr="000B6A51">
        <w:t>Item [3.</w:t>
      </w:r>
      <w:r>
        <w:t>4</w:t>
      </w:r>
      <w:r w:rsidRPr="000B6A51">
        <w:t>] varies paragraph 1.2.8</w:t>
      </w:r>
      <w:r w:rsidRPr="00CB38B0">
        <w:t>—</w:t>
      </w:r>
      <w:r w:rsidRPr="000B6A51">
        <w:t>14(1)(c). It replaces ‘presence in the food’ with ‘the average quantity per serving of the food’.</w:t>
      </w:r>
    </w:p>
    <w:p w14:paraId="517C3EFF" w14:textId="77777777" w:rsidR="002F070F" w:rsidRPr="000B6A51" w:rsidRDefault="002F070F" w:rsidP="002F070F"/>
    <w:p w14:paraId="2689A7A3" w14:textId="77777777" w:rsidR="002F070F" w:rsidRPr="000B6A51" w:rsidRDefault="002F070F" w:rsidP="002F070F">
      <w:r w:rsidRPr="000B6A51">
        <w:t>Item [3.</w:t>
      </w:r>
      <w:r>
        <w:t>5</w:t>
      </w:r>
      <w:r w:rsidRPr="000B6A51">
        <w:t>] varies subsection 1.2.8</w:t>
      </w:r>
      <w:r w:rsidRPr="00CB38B0">
        <w:t>—</w:t>
      </w:r>
      <w:r w:rsidRPr="000B6A51">
        <w:t>14(2) to remove the reference to ‘metric cup’.</w:t>
      </w:r>
    </w:p>
    <w:p w14:paraId="09F0DA61" w14:textId="77777777" w:rsidR="002F070F" w:rsidRPr="000B6A51" w:rsidRDefault="002F070F" w:rsidP="002F070F"/>
    <w:p w14:paraId="77F67D9F" w14:textId="77777777" w:rsidR="002F070F" w:rsidRPr="000B6A51" w:rsidRDefault="002F070F" w:rsidP="002F070F">
      <w:r w:rsidRPr="000B6A51">
        <w:t xml:space="preserve">Item [4] varies Schedule 4. </w:t>
      </w:r>
    </w:p>
    <w:p w14:paraId="463E3A6B" w14:textId="77777777" w:rsidR="002F070F" w:rsidRPr="000B6A51" w:rsidRDefault="002F070F" w:rsidP="002F070F"/>
    <w:p w14:paraId="5C53E5DF" w14:textId="77777777" w:rsidR="002F070F" w:rsidRPr="000B6A51" w:rsidRDefault="002F070F" w:rsidP="002F070F">
      <w:r w:rsidRPr="000B6A51">
        <w:t xml:space="preserve">Item [4.1] </w:t>
      </w:r>
      <w:r>
        <w:t>amends the entry for Lactose in the table to section S4</w:t>
      </w:r>
      <w:r w:rsidRPr="00CB38B0">
        <w:t>—</w:t>
      </w:r>
      <w:r>
        <w:t xml:space="preserve">3 by </w:t>
      </w:r>
      <w:r w:rsidRPr="000B6A51">
        <w:t>remov</w:t>
      </w:r>
      <w:r>
        <w:t>ing</w:t>
      </w:r>
      <w:r w:rsidRPr="000B6A51">
        <w:t xml:space="preserve"> the condition that the nutrition information panel indicate the lactose and galactose content.</w:t>
      </w:r>
    </w:p>
    <w:p w14:paraId="19A69566" w14:textId="77777777" w:rsidR="002F070F" w:rsidRPr="000B6A51" w:rsidRDefault="002F070F" w:rsidP="002F070F"/>
    <w:p w14:paraId="26BE276C" w14:textId="77777777" w:rsidR="002F070F" w:rsidRPr="000B6A51" w:rsidRDefault="002F070F" w:rsidP="002F070F">
      <w:r w:rsidRPr="000B6A51">
        <w:t xml:space="preserve">Item [4.2] </w:t>
      </w:r>
      <w:r>
        <w:t>amends the entry for Salt or sodium in the table to section S4</w:t>
      </w:r>
      <w:r w:rsidRPr="00CB38B0">
        <w:t>—</w:t>
      </w:r>
      <w:r>
        <w:t xml:space="preserve">3 by </w:t>
      </w:r>
      <w:r w:rsidRPr="000B6A51">
        <w:t>remov</w:t>
      </w:r>
      <w:r>
        <w:t>ing</w:t>
      </w:r>
      <w:r w:rsidRPr="000B6A51">
        <w:t xml:space="preserve"> the condition that the nutrition information panel indicate the potassium content.</w:t>
      </w:r>
    </w:p>
    <w:p w14:paraId="67FB2B01" w14:textId="77777777" w:rsidR="002F070F" w:rsidRPr="000B6A51" w:rsidRDefault="002F070F" w:rsidP="002F070F"/>
    <w:p w14:paraId="29ADBE39" w14:textId="77777777" w:rsidR="002F070F" w:rsidRPr="000B6A51" w:rsidRDefault="002F070F" w:rsidP="002F070F">
      <w:r w:rsidRPr="000B6A51">
        <w:t>Item [4.3] replaces the entry for ‘Omega-3 fatty acids’ in the table to section S4</w:t>
      </w:r>
      <w:r w:rsidRPr="00CB38B0">
        <w:t>—</w:t>
      </w:r>
      <w:r w:rsidRPr="000B6A51">
        <w:t>3 to remove the condition that the nutrition information panel indicate the type and amount of omega-3 fatty acids.</w:t>
      </w:r>
    </w:p>
    <w:p w14:paraId="09676A06" w14:textId="77777777" w:rsidR="002F070F" w:rsidRPr="000B6A51" w:rsidRDefault="002F070F" w:rsidP="002F070F"/>
    <w:p w14:paraId="5F5B2F6F" w14:textId="77777777" w:rsidR="002F070F" w:rsidRPr="000B6A51" w:rsidRDefault="002F070F" w:rsidP="002F070F">
      <w:r w:rsidRPr="000B6A51">
        <w:t xml:space="preserve">Item [5] varies Schedule 5. </w:t>
      </w:r>
    </w:p>
    <w:p w14:paraId="4837AB90" w14:textId="77777777" w:rsidR="002F070F" w:rsidRPr="000B6A51" w:rsidRDefault="002F070F" w:rsidP="002F070F">
      <w:pPr>
        <w:pStyle w:val="ListParagraph"/>
        <w:ind w:left="360"/>
      </w:pPr>
    </w:p>
    <w:p w14:paraId="1ABD7EEB" w14:textId="77777777" w:rsidR="002F070F" w:rsidRPr="00190C64" w:rsidRDefault="002F070F" w:rsidP="002F070F">
      <w:r w:rsidRPr="00190C64">
        <w:t>Item [5.</w:t>
      </w:r>
      <w:r>
        <w:t>1</w:t>
      </w:r>
      <w:r w:rsidRPr="00190C64">
        <w:t xml:space="preserve">] varies section S5—3 to replace ‘the content of energy and each nutrient’ with ‘the average energy content and the average quantity of each nutrient’. </w:t>
      </w:r>
    </w:p>
    <w:p w14:paraId="72BABB69" w14:textId="77777777" w:rsidR="002F070F" w:rsidRPr="00190C64" w:rsidRDefault="002F070F" w:rsidP="002F070F"/>
    <w:p w14:paraId="00B49446" w14:textId="61A25923" w:rsidR="00F63C2C" w:rsidRDefault="002F070F" w:rsidP="002F070F">
      <w:r w:rsidRPr="00190C64">
        <w:t>Item [5.</w:t>
      </w:r>
      <w:r>
        <w:t>2</w:t>
      </w:r>
      <w:r w:rsidRPr="00190C64">
        <w:t xml:space="preserve">] varies section S5—3 to replace ‘AEC is the number of points for average energy content’ with ‘AEC is the number of points for the average energy content in the unit quantity of the food’. </w:t>
      </w:r>
      <w:r w:rsidR="00F63C2C">
        <w:br w:type="page"/>
      </w:r>
    </w:p>
    <w:p w14:paraId="2DE2444D" w14:textId="77777777" w:rsidR="002F070F" w:rsidRPr="00190C64" w:rsidRDefault="002F070F" w:rsidP="002F070F">
      <w:r w:rsidRPr="00190C64">
        <w:lastRenderedPageBreak/>
        <w:t>Item [5.</w:t>
      </w:r>
      <w:r>
        <w:t>3</w:t>
      </w:r>
      <w:r w:rsidRPr="00190C64">
        <w:t xml:space="preserve">] varies section S5—3 to replace ‘ASFA is the number of points for average saturated fatty acids with ‘ASFA is the number of points for the average quantity of saturated fatty acids in the unit quantity of the food’. </w:t>
      </w:r>
    </w:p>
    <w:p w14:paraId="5C631347" w14:textId="77777777" w:rsidR="002F070F" w:rsidRPr="00190C64" w:rsidRDefault="002F070F" w:rsidP="002F070F"/>
    <w:p w14:paraId="5FE7700F" w14:textId="77777777" w:rsidR="002F070F" w:rsidRPr="00190C64" w:rsidRDefault="002F070F" w:rsidP="002F070F">
      <w:r w:rsidRPr="00190C64">
        <w:t>Item [5.</w:t>
      </w:r>
      <w:r>
        <w:t>4</w:t>
      </w:r>
      <w:r w:rsidRPr="00190C64">
        <w:t xml:space="preserve">] varies section S5—3 to replace ‘ATS is the number of points for average total sugars’ with ‘ATS is the number of points for the average quantity of sugars in the unit quantity of the food’. </w:t>
      </w:r>
    </w:p>
    <w:p w14:paraId="4CC2C8D7" w14:textId="77777777" w:rsidR="002F070F" w:rsidRPr="00190C64" w:rsidRDefault="002F070F" w:rsidP="002F070F"/>
    <w:p w14:paraId="679FAE54" w14:textId="77777777" w:rsidR="002F070F" w:rsidRPr="00190C64" w:rsidRDefault="002F070F" w:rsidP="002F070F">
      <w:r w:rsidRPr="00190C64">
        <w:t>Item [5.</w:t>
      </w:r>
      <w:r>
        <w:t>5</w:t>
      </w:r>
      <w:r w:rsidRPr="00190C64">
        <w:t xml:space="preserve">] varies section S5—3 to replace ‘AS is the number of points for average sodium’ with ‘AS is the number of points for the average quantity of sodium in the unit quantity of the food’. </w:t>
      </w:r>
    </w:p>
    <w:p w14:paraId="73EFBEA1" w14:textId="77777777" w:rsidR="002F070F" w:rsidRPr="00190C64" w:rsidRDefault="002F070F" w:rsidP="002F070F"/>
    <w:p w14:paraId="4F7118D4" w14:textId="77777777" w:rsidR="002F070F" w:rsidRPr="00190C64" w:rsidRDefault="002F070F" w:rsidP="002F070F">
      <w:r w:rsidRPr="00190C64">
        <w:t>Item [5.</w:t>
      </w:r>
      <w:r>
        <w:t>6</w:t>
      </w:r>
      <w:r w:rsidRPr="00190C64">
        <w:t xml:space="preserve">] removes the word ‘total’ from Table 1 of </w:t>
      </w:r>
      <w:r>
        <w:t>section S5</w:t>
      </w:r>
      <w:r w:rsidRPr="00CB38B0">
        <w:t>—</w:t>
      </w:r>
      <w:r>
        <w:t>3.</w:t>
      </w:r>
    </w:p>
    <w:p w14:paraId="40D25DE6" w14:textId="77777777" w:rsidR="002F070F" w:rsidRPr="00190C64" w:rsidRDefault="002F070F" w:rsidP="002F070F"/>
    <w:p w14:paraId="61691512" w14:textId="77777777" w:rsidR="002F070F" w:rsidRPr="00190C64" w:rsidRDefault="002F070F" w:rsidP="002F070F">
      <w:r w:rsidRPr="00190C64">
        <w:t>Item [5.</w:t>
      </w:r>
      <w:r>
        <w:t>7</w:t>
      </w:r>
      <w:r w:rsidRPr="00190C64">
        <w:t xml:space="preserve">] removes the word ‘total’ from Table 2 of </w:t>
      </w:r>
      <w:r>
        <w:t>section S5</w:t>
      </w:r>
      <w:r w:rsidRPr="00CB38B0">
        <w:t>—</w:t>
      </w:r>
      <w:r>
        <w:t>3</w:t>
      </w:r>
      <w:r w:rsidRPr="00190C64">
        <w:t>.</w:t>
      </w:r>
    </w:p>
    <w:p w14:paraId="175A4F8C" w14:textId="77777777" w:rsidR="002F070F" w:rsidRPr="00190C64" w:rsidRDefault="002F070F" w:rsidP="002F070F"/>
    <w:p w14:paraId="7EAA78EF" w14:textId="77777777" w:rsidR="002F070F" w:rsidRPr="00190C64" w:rsidRDefault="002F070F" w:rsidP="002F070F">
      <w:r w:rsidRPr="00190C64">
        <w:t xml:space="preserve">Item [5.8] removes the word ‘sources’ from section S5—4. </w:t>
      </w:r>
    </w:p>
    <w:p w14:paraId="6CEE692D" w14:textId="77777777" w:rsidR="002F070F" w:rsidRPr="00190C64" w:rsidRDefault="002F070F" w:rsidP="002F070F"/>
    <w:p w14:paraId="1145C309" w14:textId="77777777" w:rsidR="002F070F" w:rsidRPr="000B6A51" w:rsidRDefault="002F070F" w:rsidP="002F070F">
      <w:r w:rsidRPr="00190C64">
        <w:t>Item [5.9] amends subsection S5—5(1) to require</w:t>
      </w:r>
      <w:r w:rsidRPr="00DA70B4">
        <w:t xml:space="preserve"> that the ‘P points’ scored depend on</w:t>
      </w:r>
      <w:r w:rsidRPr="00D0400D">
        <w:t xml:space="preserve"> the ‘</w:t>
      </w:r>
      <w:r w:rsidRPr="000B6A51">
        <w:t xml:space="preserve">average quantity’ of protein in 100 g or 100 mL of the food product, based on the units used in the nutrition information panel.  </w:t>
      </w:r>
    </w:p>
    <w:p w14:paraId="3C57E219" w14:textId="77777777" w:rsidR="002F070F" w:rsidRPr="000B6A51" w:rsidRDefault="002F070F" w:rsidP="002F070F"/>
    <w:p w14:paraId="1289AAE8" w14:textId="77777777" w:rsidR="002F070F" w:rsidRPr="000B6A51" w:rsidRDefault="002F070F" w:rsidP="002F070F">
      <w:r w:rsidRPr="000B6A51">
        <w:t>Item [5.10] amends subsection S5</w:t>
      </w:r>
      <w:r w:rsidRPr="00CB38B0">
        <w:t>—</w:t>
      </w:r>
      <w:r w:rsidRPr="000B6A51">
        <w:t xml:space="preserve">6(1) to </w:t>
      </w:r>
      <w:r>
        <w:t>require</w:t>
      </w:r>
      <w:r w:rsidRPr="000B6A51">
        <w:t xml:space="preserve"> that the ‘F points’ scored depend on the ‘average quantity’ of dietary fibre in 100 g or 100 mL of the food product, based on the units used in the nutrition information panel.</w:t>
      </w:r>
    </w:p>
    <w:p w14:paraId="466E473E" w14:textId="77777777" w:rsidR="002F070F" w:rsidRPr="000B6A51" w:rsidRDefault="002F070F" w:rsidP="002F070F"/>
    <w:p w14:paraId="0FB001DF" w14:textId="77777777" w:rsidR="002F070F" w:rsidRPr="000B6A51" w:rsidRDefault="002F070F" w:rsidP="002F070F">
      <w:r w:rsidRPr="000B6A51">
        <w:t xml:space="preserve">Item [6] varies Schedule 12. </w:t>
      </w:r>
      <w:r>
        <w:t>It</w:t>
      </w:r>
      <w:r w:rsidRPr="000B6A51">
        <w:t xml:space="preserve"> </w:t>
      </w:r>
      <w:r>
        <w:t>amends</w:t>
      </w:r>
      <w:r w:rsidRPr="000B6A51">
        <w:t xml:space="preserve"> section S12</w:t>
      </w:r>
      <w:r w:rsidRPr="00CB38B0">
        <w:t>—</w:t>
      </w:r>
      <w:r w:rsidRPr="000B6A51">
        <w:t xml:space="preserve">3 to add references to subsections 1.2.8—6(11), 6(12) and 6(13). </w:t>
      </w:r>
    </w:p>
    <w:p w14:paraId="6E449483" w14:textId="77777777" w:rsidR="002F070F" w:rsidRPr="000B6A51" w:rsidRDefault="002F070F" w:rsidP="002F070F"/>
    <w:p w14:paraId="580250E3" w14:textId="77777777" w:rsidR="002F070F" w:rsidRDefault="002F070F" w:rsidP="002F070F">
      <w:r w:rsidRPr="000B6A51">
        <w:t>Item [7] varies Schedule 1</w:t>
      </w:r>
      <w:r>
        <w:t xml:space="preserve">3. It </w:t>
      </w:r>
      <w:r w:rsidRPr="000B6A51">
        <w:t xml:space="preserve">replaces the </w:t>
      </w:r>
      <w:r>
        <w:t>t</w:t>
      </w:r>
      <w:r w:rsidRPr="000B6A51">
        <w:t>able to section S13</w:t>
      </w:r>
      <w:r w:rsidRPr="00CB38B0">
        <w:t>—</w:t>
      </w:r>
      <w:r w:rsidRPr="000B6A51">
        <w:t xml:space="preserve">2 with a new </w:t>
      </w:r>
      <w:r>
        <w:t>t</w:t>
      </w:r>
      <w:r w:rsidRPr="000B6A51">
        <w:t xml:space="preserve">able. The new </w:t>
      </w:r>
      <w:r>
        <w:t>t</w:t>
      </w:r>
      <w:r w:rsidRPr="000B6A51">
        <w:t xml:space="preserve">able changes the </w:t>
      </w:r>
      <w:r>
        <w:t xml:space="preserve">requirements for some </w:t>
      </w:r>
      <w:r w:rsidRPr="000B6A51">
        <w:t xml:space="preserve">particulars that must be included on the label for certain claims requiring additional nutritional information claims. </w:t>
      </w:r>
      <w:r>
        <w:br w:type="page"/>
      </w:r>
    </w:p>
    <w:p w14:paraId="191F9CD9" w14:textId="01E8E3DA" w:rsidR="00795D86" w:rsidRPr="00023102" w:rsidRDefault="003C4969" w:rsidP="005B06CC">
      <w:pPr>
        <w:pStyle w:val="FSCh2Part"/>
        <w:ind w:left="0" w:firstLine="0"/>
      </w:pPr>
      <w:bookmarkStart w:id="153" w:name="_Toc428369915"/>
      <w:bookmarkStart w:id="154" w:name="_Toc428861622"/>
      <w:r w:rsidRPr="00023102">
        <w:lastRenderedPageBreak/>
        <w:t xml:space="preserve">Attachment </w:t>
      </w:r>
      <w:bookmarkStart w:id="155" w:name="_Toc11735637"/>
      <w:bookmarkStart w:id="156" w:name="_Toc29883122"/>
      <w:bookmarkStart w:id="157" w:name="_Toc41906809"/>
      <w:bookmarkStart w:id="158" w:name="_Toc41907556"/>
      <w:bookmarkStart w:id="159" w:name="_Toc120358587"/>
      <w:bookmarkStart w:id="160" w:name="_Toc175381446"/>
      <w:bookmarkStart w:id="161" w:name="_Toc175381454"/>
      <w:bookmarkEnd w:id="127"/>
      <w:bookmarkEnd w:id="128"/>
      <w:r w:rsidR="007D0189" w:rsidRPr="00023102">
        <w:t>C</w:t>
      </w:r>
      <w:r w:rsidR="00486C66" w:rsidRPr="00023102">
        <w:t xml:space="preserve"> – </w:t>
      </w:r>
      <w:r w:rsidR="00795D86" w:rsidRPr="00023102">
        <w:t xml:space="preserve">Draft variation to the </w:t>
      </w:r>
      <w:r w:rsidR="00795D86" w:rsidRPr="00023102">
        <w:rPr>
          <w:i/>
        </w:rPr>
        <w:t>Australia New Zealand Food Standards Code</w:t>
      </w:r>
      <w:r w:rsidR="00E47D3B" w:rsidRPr="00023102">
        <w:rPr>
          <w:i/>
        </w:rPr>
        <w:t xml:space="preserve"> </w:t>
      </w:r>
      <w:r w:rsidR="00E47D3B" w:rsidRPr="00023102">
        <w:t>(call for submissions)</w:t>
      </w:r>
      <w:bookmarkEnd w:id="153"/>
      <w:bookmarkEnd w:id="154"/>
    </w:p>
    <w:p w14:paraId="00F1350E" w14:textId="77777777" w:rsidR="00023102" w:rsidRPr="00584AF3" w:rsidRDefault="00023102" w:rsidP="00023102">
      <w:pPr>
        <w:tabs>
          <w:tab w:val="left" w:pos="851"/>
        </w:tabs>
        <w:rPr>
          <w:noProof/>
          <w:sz w:val="20"/>
          <w:szCs w:val="20"/>
          <w:lang w:val="en-AU" w:eastAsia="en-AU" w:bidi="ar-SA"/>
        </w:rPr>
      </w:pPr>
      <w:r w:rsidRPr="00584AF3">
        <w:rPr>
          <w:noProof/>
          <w:sz w:val="20"/>
          <w:szCs w:val="20"/>
          <w:lang w:eastAsia="en-GB" w:bidi="ar-SA"/>
        </w:rPr>
        <w:drawing>
          <wp:inline distT="0" distB="0" distL="0" distR="0" wp14:anchorId="407E22F8" wp14:editId="421065E0">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08D05EB" w14:textId="77777777" w:rsidR="00023102" w:rsidRPr="00584AF3" w:rsidRDefault="00023102" w:rsidP="00023102">
      <w:pPr>
        <w:pBdr>
          <w:bottom w:val="single" w:sz="4" w:space="1" w:color="auto"/>
        </w:pBdr>
        <w:tabs>
          <w:tab w:val="left" w:pos="851"/>
        </w:tabs>
        <w:jc w:val="center"/>
        <w:rPr>
          <w:sz w:val="20"/>
          <w:szCs w:val="20"/>
          <w:lang w:bidi="ar-SA"/>
        </w:rPr>
      </w:pPr>
    </w:p>
    <w:p w14:paraId="7D28EC2C" w14:textId="77777777" w:rsidR="00023102" w:rsidRPr="00584AF3" w:rsidRDefault="00023102" w:rsidP="00023102">
      <w:pPr>
        <w:pBdr>
          <w:bottom w:val="single" w:sz="4" w:space="1" w:color="auto"/>
        </w:pBdr>
        <w:tabs>
          <w:tab w:val="left" w:pos="851"/>
        </w:tabs>
        <w:rPr>
          <w:b/>
          <w:sz w:val="20"/>
          <w:szCs w:val="20"/>
          <w:lang w:bidi="ar-SA"/>
        </w:rPr>
      </w:pPr>
      <w:r w:rsidRPr="00584AF3">
        <w:rPr>
          <w:b/>
          <w:sz w:val="20"/>
          <w:szCs w:val="20"/>
          <w:lang w:bidi="ar-SA"/>
        </w:rPr>
        <w:t>Food Standards (Proposal P1037– Amendments associated with Health and Nutrition Claims) Variation</w:t>
      </w:r>
    </w:p>
    <w:p w14:paraId="25F95D8E" w14:textId="77777777" w:rsidR="00023102" w:rsidRPr="00584AF3" w:rsidRDefault="00023102" w:rsidP="00023102">
      <w:pPr>
        <w:pBdr>
          <w:bottom w:val="single" w:sz="4" w:space="1" w:color="auto"/>
        </w:pBdr>
        <w:tabs>
          <w:tab w:val="left" w:pos="851"/>
        </w:tabs>
        <w:rPr>
          <w:b/>
          <w:sz w:val="20"/>
          <w:szCs w:val="20"/>
          <w:lang w:bidi="ar-SA"/>
        </w:rPr>
      </w:pPr>
    </w:p>
    <w:p w14:paraId="6A86D6F1" w14:textId="77777777" w:rsidR="00023102" w:rsidRPr="00584AF3" w:rsidRDefault="00023102" w:rsidP="00023102">
      <w:pPr>
        <w:tabs>
          <w:tab w:val="left" w:pos="851"/>
        </w:tabs>
        <w:rPr>
          <w:sz w:val="20"/>
          <w:szCs w:val="20"/>
          <w:lang w:bidi="ar-SA"/>
        </w:rPr>
      </w:pPr>
    </w:p>
    <w:p w14:paraId="51F0CAE5" w14:textId="77777777" w:rsidR="00023102" w:rsidRPr="00584AF3" w:rsidRDefault="00023102" w:rsidP="00023102">
      <w:pPr>
        <w:tabs>
          <w:tab w:val="left" w:pos="851"/>
        </w:tabs>
        <w:rPr>
          <w:sz w:val="20"/>
          <w:szCs w:val="20"/>
          <w:lang w:bidi="ar-SA"/>
        </w:rPr>
      </w:pPr>
      <w:r w:rsidRPr="00584AF3">
        <w:rPr>
          <w:sz w:val="20"/>
          <w:szCs w:val="20"/>
          <w:lang w:bidi="ar-SA"/>
        </w:rPr>
        <w:t xml:space="preserve">The Board of Food Standards Australia New Zealand gives notice of the making of this variation under section 92 of the </w:t>
      </w:r>
      <w:r w:rsidRPr="00584AF3">
        <w:rPr>
          <w:i/>
          <w:sz w:val="20"/>
          <w:szCs w:val="20"/>
          <w:lang w:bidi="ar-SA"/>
        </w:rPr>
        <w:t>Food Standards Australia New Zealand Act 1991</w:t>
      </w:r>
      <w:r w:rsidRPr="00584AF3">
        <w:rPr>
          <w:sz w:val="20"/>
          <w:szCs w:val="20"/>
          <w:lang w:bidi="ar-SA"/>
        </w:rPr>
        <w:t>.  The Standard commences on the date specified in clause 3 of this variation.</w:t>
      </w:r>
    </w:p>
    <w:p w14:paraId="1DA489E3" w14:textId="77777777" w:rsidR="00023102" w:rsidRPr="00584AF3" w:rsidRDefault="00023102" w:rsidP="00023102">
      <w:pPr>
        <w:tabs>
          <w:tab w:val="left" w:pos="851"/>
        </w:tabs>
        <w:rPr>
          <w:sz w:val="20"/>
          <w:szCs w:val="20"/>
          <w:lang w:bidi="ar-SA"/>
        </w:rPr>
      </w:pPr>
    </w:p>
    <w:p w14:paraId="4C4A8302" w14:textId="77777777" w:rsidR="00023102" w:rsidRPr="00584AF3" w:rsidRDefault="00023102" w:rsidP="00023102">
      <w:pPr>
        <w:tabs>
          <w:tab w:val="left" w:pos="851"/>
        </w:tabs>
        <w:rPr>
          <w:sz w:val="20"/>
          <w:szCs w:val="20"/>
          <w:lang w:bidi="ar-SA"/>
        </w:rPr>
      </w:pPr>
      <w:r w:rsidRPr="00584AF3">
        <w:rPr>
          <w:sz w:val="20"/>
          <w:szCs w:val="20"/>
          <w:lang w:bidi="ar-SA"/>
        </w:rPr>
        <w:t>Dated [To be completed by Standards Management Officer]</w:t>
      </w:r>
    </w:p>
    <w:p w14:paraId="6190D0BF" w14:textId="77777777" w:rsidR="00023102" w:rsidRPr="00584AF3" w:rsidRDefault="00023102" w:rsidP="00023102">
      <w:pPr>
        <w:tabs>
          <w:tab w:val="left" w:pos="851"/>
        </w:tabs>
        <w:rPr>
          <w:sz w:val="20"/>
          <w:szCs w:val="20"/>
          <w:lang w:bidi="ar-SA"/>
        </w:rPr>
      </w:pPr>
    </w:p>
    <w:p w14:paraId="0BA5143E" w14:textId="77777777" w:rsidR="00023102" w:rsidRPr="00584AF3" w:rsidRDefault="00023102" w:rsidP="00023102">
      <w:pPr>
        <w:tabs>
          <w:tab w:val="left" w:pos="851"/>
        </w:tabs>
        <w:rPr>
          <w:sz w:val="20"/>
          <w:szCs w:val="20"/>
          <w:lang w:bidi="ar-SA"/>
        </w:rPr>
      </w:pPr>
    </w:p>
    <w:p w14:paraId="570654BB" w14:textId="77777777" w:rsidR="00023102" w:rsidRPr="00584AF3" w:rsidRDefault="00023102" w:rsidP="00023102">
      <w:pPr>
        <w:tabs>
          <w:tab w:val="left" w:pos="851"/>
        </w:tabs>
        <w:rPr>
          <w:sz w:val="20"/>
          <w:szCs w:val="20"/>
          <w:lang w:bidi="ar-SA"/>
        </w:rPr>
      </w:pPr>
    </w:p>
    <w:p w14:paraId="28ED6B58" w14:textId="77777777" w:rsidR="00023102" w:rsidRPr="00584AF3" w:rsidRDefault="00023102" w:rsidP="00023102">
      <w:pPr>
        <w:tabs>
          <w:tab w:val="left" w:pos="851"/>
        </w:tabs>
        <w:rPr>
          <w:sz w:val="20"/>
          <w:szCs w:val="20"/>
          <w:lang w:bidi="ar-SA"/>
        </w:rPr>
      </w:pPr>
    </w:p>
    <w:p w14:paraId="373BC78A" w14:textId="77777777" w:rsidR="00023102" w:rsidRPr="00584AF3" w:rsidRDefault="00023102" w:rsidP="00023102">
      <w:pPr>
        <w:tabs>
          <w:tab w:val="left" w:pos="851"/>
        </w:tabs>
        <w:rPr>
          <w:sz w:val="20"/>
          <w:szCs w:val="20"/>
          <w:lang w:bidi="ar-SA"/>
        </w:rPr>
      </w:pPr>
    </w:p>
    <w:p w14:paraId="0B62D84C" w14:textId="77777777" w:rsidR="00023102" w:rsidRPr="00584AF3" w:rsidRDefault="00023102" w:rsidP="00023102">
      <w:pPr>
        <w:tabs>
          <w:tab w:val="left" w:pos="851"/>
        </w:tabs>
        <w:rPr>
          <w:sz w:val="20"/>
          <w:szCs w:val="20"/>
          <w:lang w:bidi="ar-SA"/>
        </w:rPr>
      </w:pPr>
      <w:r w:rsidRPr="00584AF3">
        <w:rPr>
          <w:sz w:val="20"/>
          <w:szCs w:val="20"/>
          <w:lang w:bidi="ar-SA"/>
        </w:rPr>
        <w:t>Standards Management Officer</w:t>
      </w:r>
    </w:p>
    <w:p w14:paraId="6A1082F2" w14:textId="77777777" w:rsidR="00023102" w:rsidRPr="00584AF3" w:rsidRDefault="00023102" w:rsidP="00023102">
      <w:pPr>
        <w:tabs>
          <w:tab w:val="left" w:pos="851"/>
        </w:tabs>
        <w:rPr>
          <w:sz w:val="20"/>
          <w:szCs w:val="20"/>
          <w:lang w:bidi="ar-SA"/>
        </w:rPr>
      </w:pPr>
      <w:r w:rsidRPr="00584AF3">
        <w:rPr>
          <w:sz w:val="20"/>
          <w:szCs w:val="20"/>
          <w:lang w:bidi="ar-SA"/>
        </w:rPr>
        <w:t>Delegate of the Board of Food Standards Australia New Zealand</w:t>
      </w:r>
    </w:p>
    <w:p w14:paraId="167C659E" w14:textId="77777777" w:rsidR="00023102" w:rsidRPr="00584AF3" w:rsidRDefault="00023102" w:rsidP="00023102">
      <w:pPr>
        <w:tabs>
          <w:tab w:val="left" w:pos="851"/>
        </w:tabs>
        <w:rPr>
          <w:sz w:val="20"/>
          <w:szCs w:val="20"/>
          <w:lang w:bidi="ar-SA"/>
        </w:rPr>
      </w:pPr>
    </w:p>
    <w:p w14:paraId="3D5320DC" w14:textId="77777777" w:rsidR="00023102" w:rsidRPr="00584AF3" w:rsidRDefault="00023102" w:rsidP="00023102">
      <w:pPr>
        <w:tabs>
          <w:tab w:val="left" w:pos="851"/>
        </w:tabs>
        <w:rPr>
          <w:sz w:val="20"/>
          <w:szCs w:val="20"/>
          <w:lang w:bidi="ar-SA"/>
        </w:rPr>
      </w:pPr>
    </w:p>
    <w:p w14:paraId="3920762F" w14:textId="77777777" w:rsidR="00023102" w:rsidRPr="00584AF3" w:rsidRDefault="00023102" w:rsidP="00023102">
      <w:pPr>
        <w:tabs>
          <w:tab w:val="left" w:pos="851"/>
        </w:tabs>
        <w:rPr>
          <w:sz w:val="20"/>
          <w:szCs w:val="20"/>
          <w:lang w:bidi="ar-SA"/>
        </w:rPr>
      </w:pPr>
    </w:p>
    <w:p w14:paraId="2D62AFE2" w14:textId="77777777" w:rsidR="00023102" w:rsidRPr="00584AF3" w:rsidRDefault="00023102" w:rsidP="00023102">
      <w:pPr>
        <w:tabs>
          <w:tab w:val="left" w:pos="851"/>
        </w:tabs>
        <w:rPr>
          <w:sz w:val="20"/>
          <w:szCs w:val="20"/>
          <w:lang w:bidi="ar-SA"/>
        </w:rPr>
      </w:pPr>
    </w:p>
    <w:p w14:paraId="3E023D87" w14:textId="77777777" w:rsidR="00023102" w:rsidRPr="00584AF3" w:rsidRDefault="00023102" w:rsidP="00023102">
      <w:pPr>
        <w:tabs>
          <w:tab w:val="left" w:pos="851"/>
        </w:tabs>
        <w:rPr>
          <w:sz w:val="20"/>
          <w:szCs w:val="20"/>
          <w:lang w:bidi="ar-SA"/>
        </w:rPr>
      </w:pPr>
    </w:p>
    <w:p w14:paraId="76FF485E" w14:textId="77777777" w:rsidR="00023102" w:rsidRPr="00584AF3" w:rsidRDefault="00023102" w:rsidP="00023102">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584AF3">
        <w:rPr>
          <w:b/>
          <w:sz w:val="20"/>
          <w:szCs w:val="20"/>
          <w:lang w:val="en-AU" w:bidi="ar-SA"/>
        </w:rPr>
        <w:t xml:space="preserve">Note:  </w:t>
      </w:r>
    </w:p>
    <w:p w14:paraId="3A8846AB" w14:textId="77777777" w:rsidR="00023102" w:rsidRPr="00584AF3" w:rsidRDefault="00023102" w:rsidP="00023102">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190BE604" w14:textId="77777777" w:rsidR="00023102" w:rsidRPr="00584AF3" w:rsidRDefault="00023102" w:rsidP="00023102">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584AF3">
        <w:rPr>
          <w:sz w:val="20"/>
          <w:szCs w:val="20"/>
          <w:lang w:val="en-AU" w:bidi="ar-SA"/>
        </w:rPr>
        <w:t xml:space="preserve">This variation will be published in the Commonwealth of Australia Gazette No. FSC </w:t>
      </w:r>
      <w:r w:rsidRPr="00584AF3">
        <w:rPr>
          <w:color w:val="FF0000"/>
          <w:sz w:val="20"/>
          <w:szCs w:val="20"/>
          <w:lang w:val="en-AU" w:bidi="ar-SA"/>
        </w:rPr>
        <w:t>XX on XX Month 20XX</w:t>
      </w:r>
      <w:r w:rsidRPr="00584AF3">
        <w:rPr>
          <w:sz w:val="20"/>
          <w:szCs w:val="20"/>
          <w:lang w:val="en-AU" w:bidi="ar-SA"/>
        </w:rPr>
        <w:t xml:space="preserve">. This means that this date is the gazettal date for the purposes of clause 3 of the variation. </w:t>
      </w:r>
    </w:p>
    <w:p w14:paraId="7883DD66" w14:textId="77777777" w:rsidR="00023102" w:rsidRPr="00584AF3" w:rsidRDefault="00023102" w:rsidP="00023102">
      <w:pPr>
        <w:tabs>
          <w:tab w:val="left" w:pos="851"/>
        </w:tabs>
        <w:rPr>
          <w:sz w:val="20"/>
          <w:szCs w:val="20"/>
          <w:lang w:bidi="ar-SA"/>
        </w:rPr>
      </w:pPr>
    </w:p>
    <w:p w14:paraId="75D189DD" w14:textId="77777777" w:rsidR="00023102" w:rsidRPr="00584AF3" w:rsidRDefault="00023102" w:rsidP="00023102">
      <w:pPr>
        <w:widowControl/>
        <w:rPr>
          <w:sz w:val="20"/>
          <w:szCs w:val="20"/>
          <w:lang w:bidi="ar-SA"/>
        </w:rPr>
      </w:pPr>
      <w:r w:rsidRPr="00584AF3">
        <w:rPr>
          <w:sz w:val="20"/>
          <w:szCs w:val="20"/>
          <w:lang w:bidi="ar-SA"/>
        </w:rPr>
        <w:br w:type="page"/>
      </w:r>
    </w:p>
    <w:p w14:paraId="02A2CE36" w14:textId="77777777" w:rsidR="00023102" w:rsidRPr="00584AF3" w:rsidRDefault="00023102" w:rsidP="00023102">
      <w:pPr>
        <w:tabs>
          <w:tab w:val="left" w:pos="851"/>
        </w:tabs>
        <w:rPr>
          <w:b/>
          <w:sz w:val="20"/>
          <w:szCs w:val="20"/>
          <w:lang w:bidi="ar-SA"/>
        </w:rPr>
      </w:pPr>
      <w:r w:rsidRPr="00584AF3">
        <w:rPr>
          <w:b/>
          <w:sz w:val="20"/>
          <w:szCs w:val="20"/>
          <w:lang w:bidi="ar-SA"/>
        </w:rPr>
        <w:lastRenderedPageBreak/>
        <w:t>1</w:t>
      </w:r>
      <w:r w:rsidRPr="00584AF3">
        <w:rPr>
          <w:b/>
          <w:sz w:val="20"/>
          <w:szCs w:val="20"/>
          <w:lang w:bidi="ar-SA"/>
        </w:rPr>
        <w:tab/>
        <w:t>Name</w:t>
      </w:r>
    </w:p>
    <w:p w14:paraId="3ACDA8E3" w14:textId="77777777" w:rsidR="00023102" w:rsidRPr="00584AF3" w:rsidRDefault="00023102" w:rsidP="00023102">
      <w:pPr>
        <w:tabs>
          <w:tab w:val="left" w:pos="851"/>
        </w:tabs>
        <w:rPr>
          <w:sz w:val="20"/>
          <w:szCs w:val="20"/>
          <w:lang w:bidi="ar-SA"/>
        </w:rPr>
      </w:pPr>
    </w:p>
    <w:p w14:paraId="7ED4D9F1" w14:textId="77777777" w:rsidR="00023102" w:rsidRPr="00584AF3" w:rsidRDefault="00023102" w:rsidP="00023102">
      <w:pPr>
        <w:tabs>
          <w:tab w:val="left" w:pos="851"/>
        </w:tabs>
        <w:rPr>
          <w:sz w:val="20"/>
          <w:szCs w:val="20"/>
          <w:lang w:bidi="ar-SA"/>
        </w:rPr>
      </w:pPr>
      <w:r w:rsidRPr="00584AF3">
        <w:rPr>
          <w:sz w:val="20"/>
          <w:szCs w:val="20"/>
          <w:lang w:bidi="ar-SA"/>
        </w:rPr>
        <w:t xml:space="preserve">This instrument is the </w:t>
      </w:r>
      <w:r w:rsidRPr="00584AF3">
        <w:rPr>
          <w:i/>
          <w:sz w:val="20"/>
          <w:szCs w:val="20"/>
          <w:lang w:bidi="ar-SA"/>
        </w:rPr>
        <w:t>Food Standards (Proposal P1037 – Amendments associated with Health and Nutrition Claims) Variation</w:t>
      </w:r>
      <w:r w:rsidRPr="00584AF3">
        <w:rPr>
          <w:sz w:val="20"/>
          <w:szCs w:val="20"/>
          <w:lang w:bidi="ar-SA"/>
        </w:rPr>
        <w:t>.</w:t>
      </w:r>
    </w:p>
    <w:p w14:paraId="46B9DC59" w14:textId="77777777" w:rsidR="00023102" w:rsidRPr="00584AF3" w:rsidRDefault="00023102" w:rsidP="00023102">
      <w:pPr>
        <w:tabs>
          <w:tab w:val="left" w:pos="851"/>
        </w:tabs>
        <w:rPr>
          <w:sz w:val="20"/>
          <w:szCs w:val="20"/>
          <w:lang w:bidi="ar-SA"/>
        </w:rPr>
      </w:pPr>
    </w:p>
    <w:p w14:paraId="63472E74" w14:textId="77777777" w:rsidR="00023102" w:rsidRPr="00584AF3" w:rsidRDefault="00023102" w:rsidP="00023102">
      <w:pPr>
        <w:ind w:left="851" w:hanging="851"/>
        <w:rPr>
          <w:b/>
          <w:sz w:val="20"/>
          <w:szCs w:val="20"/>
          <w:lang w:bidi="ar-SA"/>
        </w:rPr>
      </w:pPr>
      <w:r w:rsidRPr="00584AF3">
        <w:rPr>
          <w:b/>
          <w:sz w:val="20"/>
          <w:szCs w:val="20"/>
          <w:lang w:bidi="ar-SA"/>
        </w:rPr>
        <w:t>2</w:t>
      </w:r>
      <w:r w:rsidRPr="00584AF3">
        <w:rPr>
          <w:b/>
          <w:sz w:val="20"/>
          <w:szCs w:val="20"/>
          <w:lang w:bidi="ar-SA"/>
        </w:rPr>
        <w:tab/>
        <w:t xml:space="preserve">Variation to Standards in the </w:t>
      </w:r>
      <w:r w:rsidRPr="00584AF3">
        <w:rPr>
          <w:b/>
          <w:i/>
          <w:sz w:val="20"/>
          <w:szCs w:val="20"/>
          <w:lang w:bidi="ar-SA"/>
        </w:rPr>
        <w:t>Australia New Zealand Food Standards Code</w:t>
      </w:r>
    </w:p>
    <w:p w14:paraId="3CCDF61A" w14:textId="77777777" w:rsidR="00023102" w:rsidRPr="00584AF3" w:rsidRDefault="00023102" w:rsidP="00023102">
      <w:pPr>
        <w:tabs>
          <w:tab w:val="left" w:pos="851"/>
        </w:tabs>
        <w:rPr>
          <w:sz w:val="20"/>
          <w:szCs w:val="20"/>
          <w:lang w:bidi="ar-SA"/>
        </w:rPr>
      </w:pPr>
    </w:p>
    <w:p w14:paraId="446714BE" w14:textId="77777777" w:rsidR="00023102" w:rsidRPr="00584AF3" w:rsidRDefault="00023102" w:rsidP="00023102">
      <w:pPr>
        <w:tabs>
          <w:tab w:val="left" w:pos="851"/>
        </w:tabs>
        <w:rPr>
          <w:sz w:val="20"/>
          <w:szCs w:val="20"/>
          <w:lang w:bidi="ar-SA"/>
        </w:rPr>
      </w:pPr>
      <w:r w:rsidRPr="00584AF3">
        <w:rPr>
          <w:sz w:val="20"/>
          <w:szCs w:val="20"/>
          <w:lang w:bidi="ar-SA"/>
        </w:rPr>
        <w:t xml:space="preserve">The Schedule varies the Standards in the </w:t>
      </w:r>
      <w:r w:rsidRPr="00584AF3">
        <w:rPr>
          <w:i/>
          <w:sz w:val="20"/>
          <w:szCs w:val="20"/>
          <w:lang w:bidi="ar-SA"/>
        </w:rPr>
        <w:t>Australia New Zealand Food Standards Code</w:t>
      </w:r>
      <w:r w:rsidRPr="00584AF3">
        <w:rPr>
          <w:sz w:val="20"/>
          <w:szCs w:val="20"/>
          <w:lang w:bidi="ar-SA"/>
        </w:rPr>
        <w:t>.</w:t>
      </w:r>
    </w:p>
    <w:p w14:paraId="419399EF" w14:textId="77777777" w:rsidR="00023102" w:rsidRPr="00584AF3" w:rsidRDefault="00023102" w:rsidP="00023102">
      <w:pPr>
        <w:tabs>
          <w:tab w:val="left" w:pos="851"/>
        </w:tabs>
        <w:rPr>
          <w:sz w:val="20"/>
          <w:szCs w:val="20"/>
          <w:lang w:bidi="ar-SA"/>
        </w:rPr>
      </w:pPr>
    </w:p>
    <w:p w14:paraId="568548A7" w14:textId="77777777" w:rsidR="00023102" w:rsidRPr="00584AF3" w:rsidRDefault="00023102" w:rsidP="00023102">
      <w:pPr>
        <w:tabs>
          <w:tab w:val="left" w:pos="851"/>
        </w:tabs>
        <w:rPr>
          <w:b/>
          <w:sz w:val="20"/>
          <w:szCs w:val="20"/>
          <w:lang w:bidi="ar-SA"/>
        </w:rPr>
      </w:pPr>
      <w:r w:rsidRPr="00584AF3">
        <w:rPr>
          <w:b/>
          <w:sz w:val="20"/>
          <w:szCs w:val="20"/>
          <w:lang w:bidi="ar-SA"/>
        </w:rPr>
        <w:t>3</w:t>
      </w:r>
      <w:r w:rsidRPr="00584AF3">
        <w:rPr>
          <w:b/>
          <w:sz w:val="20"/>
          <w:szCs w:val="20"/>
          <w:lang w:bidi="ar-SA"/>
        </w:rPr>
        <w:tab/>
        <w:t>Commencement</w:t>
      </w:r>
    </w:p>
    <w:p w14:paraId="52411EE9" w14:textId="77777777" w:rsidR="00023102" w:rsidRPr="00584AF3" w:rsidRDefault="00023102" w:rsidP="00023102">
      <w:pPr>
        <w:tabs>
          <w:tab w:val="left" w:pos="851"/>
        </w:tabs>
        <w:rPr>
          <w:sz w:val="20"/>
          <w:szCs w:val="20"/>
          <w:lang w:bidi="ar-SA"/>
        </w:rPr>
      </w:pPr>
    </w:p>
    <w:p w14:paraId="274BAE3B" w14:textId="77777777" w:rsidR="00023102" w:rsidRPr="00584AF3" w:rsidRDefault="00023102" w:rsidP="00023102">
      <w:pPr>
        <w:tabs>
          <w:tab w:val="left" w:pos="851"/>
        </w:tabs>
        <w:rPr>
          <w:sz w:val="20"/>
          <w:szCs w:val="20"/>
          <w:lang w:bidi="ar-SA"/>
        </w:rPr>
      </w:pPr>
      <w:r w:rsidRPr="00584AF3">
        <w:rPr>
          <w:sz w:val="20"/>
          <w:szCs w:val="20"/>
          <w:lang w:bidi="ar-SA"/>
        </w:rPr>
        <w:t>The variation commences on the date of gazettal.</w:t>
      </w:r>
    </w:p>
    <w:p w14:paraId="1D67E241" w14:textId="77777777" w:rsidR="00023102" w:rsidRPr="00584AF3" w:rsidRDefault="00023102" w:rsidP="00023102">
      <w:pPr>
        <w:tabs>
          <w:tab w:val="left" w:pos="851"/>
        </w:tabs>
        <w:jc w:val="center"/>
        <w:rPr>
          <w:b/>
          <w:caps/>
          <w:sz w:val="20"/>
          <w:szCs w:val="20"/>
          <w:lang w:bidi="ar-SA"/>
        </w:rPr>
      </w:pPr>
    </w:p>
    <w:p w14:paraId="355FA2C4" w14:textId="77777777" w:rsidR="00023102" w:rsidRPr="00584AF3" w:rsidRDefault="00023102" w:rsidP="00023102">
      <w:pPr>
        <w:tabs>
          <w:tab w:val="left" w:pos="851"/>
        </w:tabs>
        <w:jc w:val="center"/>
        <w:rPr>
          <w:b/>
          <w:caps/>
          <w:sz w:val="20"/>
          <w:szCs w:val="20"/>
          <w:lang w:bidi="ar-SA"/>
        </w:rPr>
      </w:pPr>
      <w:r w:rsidRPr="00584AF3">
        <w:rPr>
          <w:b/>
          <w:caps/>
          <w:sz w:val="20"/>
          <w:szCs w:val="20"/>
          <w:lang w:bidi="ar-SA"/>
        </w:rPr>
        <w:t>SCHEDULE</w:t>
      </w:r>
    </w:p>
    <w:p w14:paraId="30F41A29" w14:textId="77777777" w:rsidR="00023102" w:rsidRPr="00584AF3" w:rsidRDefault="00023102" w:rsidP="00023102">
      <w:pPr>
        <w:tabs>
          <w:tab w:val="left" w:pos="851"/>
        </w:tabs>
        <w:rPr>
          <w:sz w:val="20"/>
          <w:szCs w:val="20"/>
          <w:lang w:bidi="ar-SA"/>
        </w:rPr>
      </w:pPr>
    </w:p>
    <w:p w14:paraId="1F9C7262" w14:textId="77777777" w:rsidR="00023102" w:rsidRPr="00584AF3" w:rsidRDefault="00023102" w:rsidP="00023102">
      <w:pPr>
        <w:tabs>
          <w:tab w:val="left" w:pos="851"/>
        </w:tabs>
        <w:rPr>
          <w:iCs/>
          <w:sz w:val="20"/>
          <w:szCs w:val="20"/>
        </w:rPr>
      </w:pPr>
      <w:r w:rsidRPr="00584AF3">
        <w:rPr>
          <w:b/>
          <w:bCs/>
          <w:sz w:val="20"/>
          <w:szCs w:val="20"/>
        </w:rPr>
        <w:t>[1]</w:t>
      </w:r>
      <w:r w:rsidRPr="00584AF3">
        <w:rPr>
          <w:sz w:val="20"/>
          <w:szCs w:val="20"/>
        </w:rPr>
        <w:tab/>
      </w:r>
      <w:r w:rsidRPr="00584AF3">
        <w:rPr>
          <w:b/>
          <w:bCs/>
          <w:iCs/>
          <w:sz w:val="20"/>
          <w:szCs w:val="20"/>
        </w:rPr>
        <w:t>Standard 1.1.1</w:t>
      </w:r>
      <w:r w:rsidRPr="00584AF3">
        <w:rPr>
          <w:iCs/>
          <w:sz w:val="20"/>
          <w:szCs w:val="20"/>
        </w:rPr>
        <w:t xml:space="preserve"> is varied by</w:t>
      </w:r>
    </w:p>
    <w:p w14:paraId="4FDCEB1F" w14:textId="77777777" w:rsidR="00023102" w:rsidRPr="00584AF3" w:rsidRDefault="00023102" w:rsidP="00023102">
      <w:pPr>
        <w:tabs>
          <w:tab w:val="left" w:pos="851"/>
        </w:tabs>
        <w:rPr>
          <w:iCs/>
          <w:sz w:val="20"/>
          <w:szCs w:val="20"/>
        </w:rPr>
      </w:pPr>
    </w:p>
    <w:p w14:paraId="6934F613" w14:textId="77777777" w:rsidR="00023102" w:rsidRPr="00584AF3" w:rsidRDefault="00023102" w:rsidP="00023102">
      <w:pPr>
        <w:tabs>
          <w:tab w:val="left" w:pos="851"/>
        </w:tabs>
        <w:rPr>
          <w:sz w:val="20"/>
          <w:szCs w:val="20"/>
          <w:lang w:bidi="ar-SA"/>
        </w:rPr>
      </w:pPr>
      <w:r w:rsidRPr="00584AF3">
        <w:rPr>
          <w:iCs/>
          <w:sz w:val="20"/>
          <w:szCs w:val="20"/>
        </w:rPr>
        <w:t>[1.1]</w:t>
      </w:r>
      <w:r w:rsidRPr="00584AF3">
        <w:rPr>
          <w:iCs/>
          <w:sz w:val="20"/>
          <w:szCs w:val="20"/>
        </w:rPr>
        <w:tab/>
        <w:t>omitting “Deleted” from subclause 1(3)</w:t>
      </w:r>
      <w:r>
        <w:rPr>
          <w:iCs/>
          <w:sz w:val="20"/>
          <w:szCs w:val="20"/>
        </w:rPr>
        <w:t xml:space="preserve"> and</w:t>
      </w:r>
      <w:r w:rsidRPr="00584AF3">
        <w:rPr>
          <w:iCs/>
          <w:sz w:val="20"/>
          <w:szCs w:val="20"/>
        </w:rPr>
        <w:t xml:space="preserve"> substituting “</w:t>
      </w:r>
      <w:r w:rsidRPr="00584AF3">
        <w:rPr>
          <w:sz w:val="20"/>
          <w:szCs w:val="20"/>
          <w:lang w:bidi="ar-SA"/>
        </w:rPr>
        <w:t xml:space="preserve">After the commencement of the </w:t>
      </w:r>
      <w:r w:rsidRPr="00584AF3">
        <w:rPr>
          <w:i/>
          <w:sz w:val="20"/>
          <w:szCs w:val="20"/>
          <w:lang w:bidi="ar-SA"/>
        </w:rPr>
        <w:t>Food Standards (Proposal P1037 – Amendments associated with Health and Nutrition Claims) Variation</w:t>
      </w:r>
      <w:r w:rsidRPr="00584AF3">
        <w:rPr>
          <w:sz w:val="20"/>
          <w:szCs w:val="20"/>
          <w:lang w:bidi="ar-SA"/>
        </w:rPr>
        <w:t>, a food product is taken to comply with the variations made to this Code by that food regulatory measure for a period ending on 18 January 2016 if the food product otherwise complied with this Code before that measure commenced.”</w:t>
      </w:r>
    </w:p>
    <w:p w14:paraId="2FD133BC" w14:textId="77777777" w:rsidR="00023102" w:rsidRPr="00584AF3" w:rsidRDefault="00023102" w:rsidP="00023102">
      <w:pPr>
        <w:tabs>
          <w:tab w:val="left" w:pos="851"/>
        </w:tabs>
        <w:rPr>
          <w:sz w:val="20"/>
          <w:szCs w:val="20"/>
          <w:lang w:bidi="ar-SA"/>
        </w:rPr>
      </w:pPr>
    </w:p>
    <w:p w14:paraId="07BA7E4E" w14:textId="77777777" w:rsidR="00023102" w:rsidRPr="00584AF3" w:rsidRDefault="00023102" w:rsidP="00023102">
      <w:pPr>
        <w:tabs>
          <w:tab w:val="left" w:pos="851"/>
        </w:tabs>
        <w:rPr>
          <w:iCs/>
          <w:sz w:val="20"/>
          <w:szCs w:val="20"/>
        </w:rPr>
      </w:pPr>
      <w:r w:rsidRPr="00584AF3">
        <w:rPr>
          <w:iCs/>
          <w:sz w:val="20"/>
          <w:szCs w:val="20"/>
        </w:rPr>
        <w:t>[1.2]</w:t>
      </w:r>
      <w:r w:rsidRPr="00584AF3">
        <w:rPr>
          <w:iCs/>
          <w:sz w:val="20"/>
          <w:szCs w:val="20"/>
        </w:rPr>
        <w:tab/>
        <w:t>inserting after clause 2</w:t>
      </w:r>
    </w:p>
    <w:p w14:paraId="188C22FF" w14:textId="77777777" w:rsidR="00023102" w:rsidRPr="00584AF3" w:rsidRDefault="00023102" w:rsidP="00023102">
      <w:pPr>
        <w:tabs>
          <w:tab w:val="left" w:pos="851"/>
        </w:tabs>
        <w:rPr>
          <w:iCs/>
          <w:sz w:val="20"/>
          <w:szCs w:val="20"/>
        </w:rPr>
      </w:pPr>
    </w:p>
    <w:p w14:paraId="53274E01" w14:textId="77777777" w:rsidR="00023102" w:rsidRPr="00584AF3" w:rsidRDefault="00023102" w:rsidP="00023102">
      <w:pPr>
        <w:tabs>
          <w:tab w:val="left" w:pos="851"/>
        </w:tabs>
        <w:rPr>
          <w:iCs/>
          <w:sz w:val="20"/>
          <w:szCs w:val="20"/>
        </w:rPr>
      </w:pPr>
      <w:r w:rsidRPr="00584AF3">
        <w:rPr>
          <w:iCs/>
          <w:sz w:val="20"/>
          <w:szCs w:val="20"/>
        </w:rPr>
        <w:t>“</w:t>
      </w:r>
      <w:r w:rsidRPr="00584AF3">
        <w:rPr>
          <w:b/>
          <w:iCs/>
          <w:sz w:val="20"/>
          <w:szCs w:val="20"/>
        </w:rPr>
        <w:t>2A</w:t>
      </w:r>
      <w:r w:rsidRPr="00584AF3">
        <w:rPr>
          <w:b/>
          <w:iCs/>
          <w:sz w:val="20"/>
          <w:szCs w:val="20"/>
        </w:rPr>
        <w:tab/>
        <w:t>Permitted Health Star Rating symbols</w:t>
      </w:r>
    </w:p>
    <w:p w14:paraId="25E84D23" w14:textId="77777777" w:rsidR="00023102" w:rsidRPr="00584AF3" w:rsidRDefault="00023102" w:rsidP="00023102">
      <w:pPr>
        <w:tabs>
          <w:tab w:val="left" w:pos="851"/>
        </w:tabs>
        <w:rPr>
          <w:iCs/>
          <w:sz w:val="20"/>
          <w:szCs w:val="20"/>
        </w:rPr>
      </w:pPr>
    </w:p>
    <w:p w14:paraId="5BE40A36" w14:textId="77777777" w:rsidR="00023102" w:rsidRPr="00584AF3" w:rsidRDefault="00023102" w:rsidP="00023102">
      <w:pPr>
        <w:tabs>
          <w:tab w:val="left" w:pos="851"/>
        </w:tabs>
        <w:rPr>
          <w:rFonts w:cs="Arial"/>
          <w:sz w:val="20"/>
          <w:szCs w:val="20"/>
          <w:lang w:bidi="ar-SA"/>
        </w:rPr>
      </w:pPr>
      <w:r w:rsidRPr="00584AF3">
        <w:rPr>
          <w:rFonts w:cs="Arial"/>
          <w:sz w:val="20"/>
          <w:szCs w:val="20"/>
          <w:lang w:bidi="ar-SA"/>
        </w:rPr>
        <w:t>(1)</w:t>
      </w:r>
      <w:r w:rsidRPr="00584AF3">
        <w:rPr>
          <w:rFonts w:cs="Arial"/>
          <w:sz w:val="20"/>
          <w:szCs w:val="20"/>
          <w:lang w:bidi="ar-SA"/>
        </w:rPr>
        <w:tab/>
        <w:t xml:space="preserve">In this Code, </w:t>
      </w:r>
      <w:r w:rsidRPr="00584AF3">
        <w:rPr>
          <w:rFonts w:cs="Arial"/>
          <w:b/>
          <w:sz w:val="20"/>
          <w:szCs w:val="20"/>
          <w:lang w:bidi="ar-SA"/>
        </w:rPr>
        <w:t>a Permitted</w:t>
      </w:r>
      <w:r w:rsidRPr="00584AF3">
        <w:rPr>
          <w:rFonts w:eastAsiaTheme="minorHAnsi" w:cs="Arial"/>
          <w:b/>
          <w:sz w:val="20"/>
          <w:szCs w:val="20"/>
          <w:lang w:bidi="ar-SA"/>
        </w:rPr>
        <w:t xml:space="preserve"> Health Star Rating </w:t>
      </w:r>
      <w:r w:rsidRPr="00584AF3">
        <w:rPr>
          <w:rFonts w:cs="Arial"/>
          <w:b/>
          <w:sz w:val="20"/>
          <w:szCs w:val="20"/>
          <w:lang w:bidi="ar-SA"/>
        </w:rPr>
        <w:t>symbol</w:t>
      </w:r>
      <w:r w:rsidRPr="00584AF3">
        <w:rPr>
          <w:rFonts w:cs="Arial"/>
          <w:sz w:val="20"/>
          <w:szCs w:val="20"/>
          <w:lang w:bidi="ar-SA"/>
        </w:rPr>
        <w:t xml:space="preserve"> means an image subject to Australian Trade Marks numbered 1641445, 1641446 or 1641447.</w:t>
      </w:r>
    </w:p>
    <w:p w14:paraId="566892EE" w14:textId="77777777" w:rsidR="00023102" w:rsidRPr="00584AF3" w:rsidRDefault="00023102" w:rsidP="00023102">
      <w:pPr>
        <w:widowControl/>
        <w:tabs>
          <w:tab w:val="left" w:pos="851"/>
        </w:tabs>
        <w:spacing w:before="100" w:beforeAutospacing="1" w:after="100" w:afterAutospacing="1"/>
        <w:rPr>
          <w:rFonts w:cs="Arial"/>
          <w:sz w:val="20"/>
          <w:szCs w:val="20"/>
          <w:lang w:eastAsia="en-GB" w:bidi="ar-SA"/>
        </w:rPr>
      </w:pPr>
      <w:r w:rsidRPr="00584AF3">
        <w:rPr>
          <w:rFonts w:cs="Arial"/>
          <w:sz w:val="20"/>
          <w:szCs w:val="20"/>
          <w:lang w:eastAsia="en-GB" w:bidi="ar-SA"/>
        </w:rPr>
        <w:t>(2)</w:t>
      </w:r>
      <w:r w:rsidRPr="00584AF3">
        <w:rPr>
          <w:rFonts w:cs="Arial"/>
          <w:sz w:val="20"/>
          <w:szCs w:val="20"/>
          <w:lang w:eastAsia="en-GB" w:bidi="ar-SA"/>
        </w:rPr>
        <w:tab/>
        <w:t xml:space="preserve">To avoid doubt, an image mentioned in subclause (1) does not cease to be a Permitted </w:t>
      </w:r>
      <w:r w:rsidRPr="00584AF3">
        <w:rPr>
          <w:rFonts w:eastAsiaTheme="minorHAnsi" w:cs="Arial"/>
          <w:sz w:val="20"/>
          <w:szCs w:val="20"/>
          <w:lang w:eastAsia="en-GB" w:bidi="ar-SA"/>
        </w:rPr>
        <w:t xml:space="preserve">Health Star Rating </w:t>
      </w:r>
      <w:r w:rsidRPr="00584AF3">
        <w:rPr>
          <w:rFonts w:cs="Arial"/>
          <w:sz w:val="20"/>
          <w:szCs w:val="20"/>
          <w:lang w:eastAsia="en-GB" w:bidi="ar-SA"/>
        </w:rPr>
        <w:t xml:space="preserve">symbol </w:t>
      </w:r>
      <w:r w:rsidRPr="00584AF3">
        <w:rPr>
          <w:rFonts w:cs="Arial"/>
          <w:noProof/>
          <w:sz w:val="20"/>
          <w:szCs w:val="20"/>
          <w:lang w:eastAsia="en-GB" w:bidi="ar-SA"/>
        </w:rPr>
        <w:t xml:space="preserve">by </w:t>
      </w:r>
      <w:r w:rsidRPr="00584AF3">
        <w:rPr>
          <w:rFonts w:cs="Arial"/>
          <w:sz w:val="20"/>
          <w:szCs w:val="20"/>
          <w:lang w:eastAsia="en-GB" w:bidi="ar-SA"/>
        </w:rPr>
        <w:t xml:space="preserve">reason only of the image indicating -  </w:t>
      </w:r>
    </w:p>
    <w:p w14:paraId="04D9A216" w14:textId="77777777" w:rsidR="00023102" w:rsidRPr="00584AF3" w:rsidRDefault="00023102" w:rsidP="002F070F">
      <w:pPr>
        <w:widowControl/>
        <w:numPr>
          <w:ilvl w:val="0"/>
          <w:numId w:val="9"/>
        </w:numPr>
        <w:tabs>
          <w:tab w:val="left" w:pos="851"/>
        </w:tabs>
        <w:ind w:left="1701" w:hanging="850"/>
        <w:rPr>
          <w:rFonts w:cs="Arial"/>
          <w:sz w:val="20"/>
          <w:szCs w:val="20"/>
          <w:lang w:eastAsia="en-GB" w:bidi="ar-SA"/>
        </w:rPr>
      </w:pPr>
      <w:r w:rsidRPr="00584AF3">
        <w:rPr>
          <w:rFonts w:cs="Arial"/>
          <w:sz w:val="20"/>
          <w:szCs w:val="20"/>
          <w:lang w:eastAsia="en-GB" w:bidi="ar-SA"/>
        </w:rPr>
        <w:t>energy or nutrient content on a per 100 g, per 100 ml or per pack basis; or</w:t>
      </w:r>
    </w:p>
    <w:p w14:paraId="2C2BCF81" w14:textId="77777777" w:rsidR="00023102" w:rsidRPr="00584AF3" w:rsidRDefault="00023102" w:rsidP="002F070F">
      <w:pPr>
        <w:widowControl/>
        <w:numPr>
          <w:ilvl w:val="0"/>
          <w:numId w:val="9"/>
        </w:numPr>
        <w:tabs>
          <w:tab w:val="left" w:pos="851"/>
        </w:tabs>
        <w:ind w:left="1701" w:hanging="850"/>
        <w:rPr>
          <w:rFonts w:cs="Arial"/>
          <w:sz w:val="20"/>
          <w:szCs w:val="20"/>
          <w:lang w:eastAsia="en-GB" w:bidi="ar-SA"/>
        </w:rPr>
      </w:pPr>
      <w:r w:rsidRPr="00584AF3">
        <w:rPr>
          <w:rFonts w:cs="Arial"/>
          <w:sz w:val="20"/>
          <w:szCs w:val="20"/>
          <w:lang w:eastAsia="en-GB" w:bidi="ar-SA"/>
        </w:rPr>
        <w:t>energy or nutrient content at zero or amounts greater than zero; or</w:t>
      </w:r>
    </w:p>
    <w:p w14:paraId="27C45378" w14:textId="77777777" w:rsidR="00023102" w:rsidRPr="00584AF3" w:rsidRDefault="00023102" w:rsidP="002F070F">
      <w:pPr>
        <w:widowControl/>
        <w:numPr>
          <w:ilvl w:val="0"/>
          <w:numId w:val="9"/>
        </w:numPr>
        <w:tabs>
          <w:tab w:val="left" w:pos="851"/>
        </w:tabs>
        <w:ind w:left="1701" w:hanging="850"/>
        <w:rPr>
          <w:rFonts w:cs="Arial"/>
          <w:sz w:val="20"/>
          <w:szCs w:val="20"/>
          <w:lang w:eastAsia="en-GB" w:bidi="ar-SA"/>
        </w:rPr>
      </w:pPr>
      <w:r w:rsidRPr="00584AF3">
        <w:rPr>
          <w:rFonts w:cs="Arial"/>
          <w:sz w:val="20"/>
          <w:szCs w:val="20"/>
          <w:lang w:eastAsia="en-GB" w:bidi="ar-SA"/>
        </w:rPr>
        <w:t>energy content on a percentage daily intake basis in addition to an amount shown in kilojoules.”</w:t>
      </w:r>
    </w:p>
    <w:p w14:paraId="31C2E0A3" w14:textId="77777777" w:rsidR="00023102" w:rsidRPr="00584AF3" w:rsidRDefault="00023102" w:rsidP="00023102">
      <w:pPr>
        <w:tabs>
          <w:tab w:val="left" w:pos="851"/>
        </w:tabs>
        <w:rPr>
          <w:iCs/>
          <w:sz w:val="20"/>
          <w:szCs w:val="20"/>
        </w:rPr>
      </w:pPr>
    </w:p>
    <w:p w14:paraId="1C308FFA" w14:textId="77777777" w:rsidR="00023102" w:rsidRPr="00584AF3" w:rsidRDefault="00023102" w:rsidP="00023102">
      <w:pPr>
        <w:tabs>
          <w:tab w:val="left" w:pos="851"/>
        </w:tabs>
        <w:rPr>
          <w:rFonts w:eastAsiaTheme="minorHAnsi"/>
          <w:sz w:val="20"/>
          <w:szCs w:val="20"/>
          <w:lang w:bidi="ar-SA"/>
        </w:rPr>
      </w:pPr>
      <w:r w:rsidRPr="00584AF3">
        <w:rPr>
          <w:rFonts w:eastAsiaTheme="minorHAnsi"/>
          <w:sz w:val="20"/>
          <w:szCs w:val="20"/>
          <w:lang w:bidi="ar-SA"/>
        </w:rPr>
        <w:t>[1.3]</w:t>
      </w:r>
      <w:r>
        <w:rPr>
          <w:sz w:val="20"/>
          <w:szCs w:val="20"/>
          <w:lang w:bidi="ar-SA"/>
        </w:rPr>
        <w:tab/>
      </w:r>
      <w:r w:rsidRPr="00584AF3">
        <w:rPr>
          <w:sz w:val="20"/>
          <w:szCs w:val="20"/>
          <w:lang w:bidi="ar-SA"/>
        </w:rPr>
        <w:t>updating the Table of Provisions to reflect these variations.</w:t>
      </w:r>
    </w:p>
    <w:p w14:paraId="0E103D98" w14:textId="77777777" w:rsidR="00023102" w:rsidRPr="00584AF3" w:rsidRDefault="00023102" w:rsidP="00023102">
      <w:pPr>
        <w:tabs>
          <w:tab w:val="left" w:pos="851"/>
        </w:tabs>
        <w:rPr>
          <w:b/>
          <w:bCs/>
          <w:sz w:val="20"/>
          <w:szCs w:val="20"/>
        </w:rPr>
      </w:pPr>
      <w:r w:rsidRPr="00584AF3">
        <w:rPr>
          <w:b/>
          <w:bCs/>
          <w:sz w:val="20"/>
          <w:szCs w:val="20"/>
        </w:rPr>
        <w:t xml:space="preserve"> </w:t>
      </w:r>
    </w:p>
    <w:p w14:paraId="2017A68B" w14:textId="77777777" w:rsidR="00023102" w:rsidRPr="00584AF3" w:rsidRDefault="00023102" w:rsidP="00023102">
      <w:pPr>
        <w:tabs>
          <w:tab w:val="left" w:pos="851"/>
        </w:tabs>
        <w:rPr>
          <w:iCs/>
          <w:sz w:val="20"/>
          <w:szCs w:val="20"/>
        </w:rPr>
      </w:pPr>
      <w:r w:rsidRPr="00584AF3">
        <w:rPr>
          <w:b/>
          <w:bCs/>
          <w:sz w:val="20"/>
          <w:szCs w:val="20"/>
        </w:rPr>
        <w:t>[2]</w:t>
      </w:r>
      <w:r w:rsidRPr="00584AF3">
        <w:rPr>
          <w:sz w:val="20"/>
          <w:szCs w:val="20"/>
        </w:rPr>
        <w:tab/>
      </w:r>
      <w:r w:rsidRPr="00584AF3">
        <w:rPr>
          <w:b/>
          <w:bCs/>
          <w:iCs/>
          <w:sz w:val="20"/>
          <w:szCs w:val="20"/>
        </w:rPr>
        <w:t>Standard 1.2.7</w:t>
      </w:r>
      <w:r w:rsidRPr="00584AF3">
        <w:rPr>
          <w:iCs/>
          <w:sz w:val="20"/>
          <w:szCs w:val="20"/>
        </w:rPr>
        <w:t xml:space="preserve"> is varied by </w:t>
      </w:r>
    </w:p>
    <w:p w14:paraId="465CF06C" w14:textId="77777777" w:rsidR="00023102" w:rsidRPr="00584AF3" w:rsidRDefault="00023102" w:rsidP="00023102">
      <w:pPr>
        <w:tabs>
          <w:tab w:val="left" w:pos="851"/>
        </w:tabs>
        <w:rPr>
          <w:iCs/>
          <w:sz w:val="20"/>
          <w:szCs w:val="20"/>
        </w:rPr>
      </w:pPr>
    </w:p>
    <w:p w14:paraId="76803579" w14:textId="77777777" w:rsidR="00023102" w:rsidRPr="00584AF3" w:rsidRDefault="00023102" w:rsidP="00023102">
      <w:pPr>
        <w:tabs>
          <w:tab w:val="left" w:pos="851"/>
        </w:tabs>
        <w:rPr>
          <w:iCs/>
          <w:sz w:val="20"/>
          <w:szCs w:val="20"/>
        </w:rPr>
      </w:pPr>
      <w:r w:rsidRPr="00584AF3">
        <w:rPr>
          <w:iCs/>
          <w:sz w:val="20"/>
          <w:szCs w:val="20"/>
        </w:rPr>
        <w:t>[2.1]</w:t>
      </w:r>
      <w:r w:rsidRPr="00584AF3">
        <w:rPr>
          <w:iCs/>
          <w:sz w:val="20"/>
          <w:szCs w:val="20"/>
        </w:rPr>
        <w:tab/>
        <w:t xml:space="preserve">omitting paragraph 5(c) and substituting </w:t>
      </w:r>
    </w:p>
    <w:p w14:paraId="2F9065C8" w14:textId="77777777" w:rsidR="00023102" w:rsidRPr="00584AF3" w:rsidRDefault="00023102" w:rsidP="00023102">
      <w:pPr>
        <w:tabs>
          <w:tab w:val="left" w:pos="851"/>
        </w:tabs>
        <w:rPr>
          <w:iCs/>
          <w:sz w:val="20"/>
          <w:szCs w:val="20"/>
        </w:rPr>
      </w:pPr>
    </w:p>
    <w:p w14:paraId="519D890A" w14:textId="77777777" w:rsidR="00023102" w:rsidRPr="00584AF3" w:rsidRDefault="00023102" w:rsidP="00023102">
      <w:pPr>
        <w:pStyle w:val="Paragraph"/>
        <w:rPr>
          <w:rFonts w:eastAsiaTheme="minorHAnsi"/>
          <w:lang w:bidi="ar-SA"/>
        </w:rPr>
      </w:pPr>
      <w:r w:rsidRPr="00584AF3">
        <w:rPr>
          <w:rFonts w:eastAsiaTheme="minorHAnsi"/>
          <w:lang w:bidi="ar-SA"/>
        </w:rPr>
        <w:t>“(c)</w:t>
      </w:r>
      <w:r w:rsidRPr="00584AF3">
        <w:rPr>
          <w:rFonts w:eastAsiaTheme="minorHAnsi"/>
          <w:lang w:bidi="ar-SA"/>
        </w:rPr>
        <w:tab/>
        <w:t>a declaration that is required by the Act; or</w:t>
      </w:r>
    </w:p>
    <w:p w14:paraId="239F273E" w14:textId="77777777" w:rsidR="00023102" w:rsidRPr="00584AF3" w:rsidRDefault="00023102" w:rsidP="00023102">
      <w:pPr>
        <w:pStyle w:val="Paragraph"/>
        <w:rPr>
          <w:rFonts w:eastAsiaTheme="minorHAnsi"/>
          <w:lang w:bidi="ar-SA"/>
        </w:rPr>
      </w:pPr>
      <w:r w:rsidRPr="00584AF3">
        <w:rPr>
          <w:rFonts w:eastAsiaTheme="minorHAnsi"/>
          <w:lang w:bidi="ar-SA"/>
        </w:rPr>
        <w:t>(d)</w:t>
      </w:r>
      <w:r w:rsidRPr="00584AF3">
        <w:rPr>
          <w:rFonts w:eastAsiaTheme="minorHAnsi"/>
          <w:lang w:bidi="ar-SA"/>
        </w:rPr>
        <w:tab/>
        <w:t>a Permitted Health Star Rating symbol.”</w:t>
      </w:r>
    </w:p>
    <w:p w14:paraId="2BB12A80" w14:textId="77777777" w:rsidR="00023102" w:rsidRPr="00584AF3" w:rsidRDefault="00023102" w:rsidP="00023102">
      <w:pPr>
        <w:pStyle w:val="Paragraph"/>
        <w:rPr>
          <w:iCs/>
        </w:rPr>
      </w:pPr>
    </w:p>
    <w:p w14:paraId="46B83416" w14:textId="77777777" w:rsidR="00023102" w:rsidRPr="00584AF3" w:rsidRDefault="00023102" w:rsidP="00023102">
      <w:pPr>
        <w:tabs>
          <w:tab w:val="left" w:pos="851"/>
        </w:tabs>
        <w:rPr>
          <w:iCs/>
          <w:sz w:val="20"/>
          <w:szCs w:val="20"/>
        </w:rPr>
      </w:pPr>
      <w:r w:rsidRPr="00584AF3">
        <w:rPr>
          <w:iCs/>
          <w:sz w:val="20"/>
          <w:szCs w:val="20"/>
        </w:rPr>
        <w:t>[2.2]</w:t>
      </w:r>
      <w:r w:rsidRPr="00584AF3">
        <w:rPr>
          <w:iCs/>
          <w:sz w:val="20"/>
          <w:szCs w:val="20"/>
        </w:rPr>
        <w:tab/>
        <w:t>omitting “subparagraph” from paragraph 18(1)(b) and substituting “paragraph”</w:t>
      </w:r>
    </w:p>
    <w:p w14:paraId="23B303B0" w14:textId="77777777" w:rsidR="00023102" w:rsidRPr="00584AF3" w:rsidRDefault="00023102" w:rsidP="00023102">
      <w:pPr>
        <w:tabs>
          <w:tab w:val="left" w:pos="851"/>
        </w:tabs>
        <w:rPr>
          <w:iCs/>
          <w:sz w:val="20"/>
          <w:szCs w:val="20"/>
        </w:rPr>
      </w:pPr>
    </w:p>
    <w:p w14:paraId="25A14CA8" w14:textId="77777777" w:rsidR="00023102" w:rsidRPr="00584AF3" w:rsidRDefault="00023102" w:rsidP="00023102">
      <w:pPr>
        <w:tabs>
          <w:tab w:val="left" w:pos="851"/>
        </w:tabs>
        <w:rPr>
          <w:iCs/>
          <w:sz w:val="20"/>
          <w:szCs w:val="20"/>
        </w:rPr>
      </w:pPr>
      <w:r w:rsidRPr="00584AF3">
        <w:rPr>
          <w:iCs/>
          <w:sz w:val="20"/>
          <w:szCs w:val="20"/>
        </w:rPr>
        <w:t>[2.3]</w:t>
      </w:r>
      <w:r w:rsidRPr="00584AF3">
        <w:rPr>
          <w:iCs/>
          <w:sz w:val="20"/>
          <w:szCs w:val="20"/>
        </w:rPr>
        <w:tab/>
        <w:t xml:space="preserve">omitting from Schedule 1 </w:t>
      </w:r>
    </w:p>
    <w:p w14:paraId="38069B14" w14:textId="77777777" w:rsidR="00023102" w:rsidRPr="00584AF3" w:rsidRDefault="00023102" w:rsidP="00023102">
      <w:pPr>
        <w:tabs>
          <w:tab w:val="left" w:pos="851"/>
        </w:tabs>
        <w:rPr>
          <w:iCs/>
          <w:sz w:val="20"/>
          <w:szCs w:val="20"/>
        </w:rPr>
      </w:pPr>
    </w:p>
    <w:p w14:paraId="70782421" w14:textId="77777777" w:rsidR="00023102" w:rsidRPr="00584AF3" w:rsidRDefault="00023102" w:rsidP="00023102">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5D876029" w14:textId="77777777" w:rsidTr="003D609A">
        <w:trPr>
          <w:cantSplit/>
        </w:trPr>
        <w:tc>
          <w:tcPr>
            <w:tcW w:w="1668" w:type="dxa"/>
            <w:vMerge w:val="restart"/>
          </w:tcPr>
          <w:p w14:paraId="4C0F0C56"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Lactose</w:t>
            </w:r>
          </w:p>
        </w:tc>
        <w:tc>
          <w:tcPr>
            <w:tcW w:w="2268" w:type="dxa"/>
            <w:vMerge w:val="restart"/>
          </w:tcPr>
          <w:p w14:paraId="78590CF1"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nutrition information panel indicates the lactose and galactose content.</w:t>
            </w:r>
          </w:p>
        </w:tc>
        <w:tc>
          <w:tcPr>
            <w:tcW w:w="2126" w:type="dxa"/>
          </w:tcPr>
          <w:p w14:paraId="0B526141"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Free</w:t>
            </w:r>
          </w:p>
        </w:tc>
        <w:tc>
          <w:tcPr>
            <w:tcW w:w="3010" w:type="dxa"/>
          </w:tcPr>
          <w:p w14:paraId="7269BD12"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detectable lactose.</w:t>
            </w:r>
          </w:p>
        </w:tc>
      </w:tr>
      <w:tr w:rsidR="00023102" w:rsidRPr="00584AF3" w14:paraId="23C0D763" w14:textId="77777777" w:rsidTr="003D609A">
        <w:trPr>
          <w:cantSplit/>
        </w:trPr>
        <w:tc>
          <w:tcPr>
            <w:tcW w:w="1668" w:type="dxa"/>
            <w:vMerge/>
          </w:tcPr>
          <w:p w14:paraId="2D80F211"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46D3429A" w14:textId="77777777" w:rsidR="00023102" w:rsidRPr="00584AF3" w:rsidRDefault="00023102" w:rsidP="003D609A">
            <w:pPr>
              <w:ind w:left="142" w:hanging="142"/>
              <w:rPr>
                <w:rFonts w:eastAsiaTheme="minorHAnsi" w:cstheme="minorBidi"/>
                <w:bCs/>
                <w:sz w:val="18"/>
                <w:szCs w:val="20"/>
                <w:lang w:eastAsia="en-AU" w:bidi="ar-SA"/>
              </w:rPr>
            </w:pPr>
          </w:p>
        </w:tc>
        <w:tc>
          <w:tcPr>
            <w:tcW w:w="2126" w:type="dxa"/>
          </w:tcPr>
          <w:p w14:paraId="31AEF247"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1F914997"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more than    2 g of lactose per 100 g of the food.</w:t>
            </w:r>
          </w:p>
        </w:tc>
      </w:tr>
    </w:tbl>
    <w:p w14:paraId="3813A6EA" w14:textId="77777777" w:rsidR="00023102" w:rsidRPr="00584AF3" w:rsidRDefault="00023102" w:rsidP="00023102">
      <w:pPr>
        <w:tabs>
          <w:tab w:val="left" w:pos="851"/>
        </w:tabs>
        <w:jc w:val="right"/>
        <w:rPr>
          <w:iCs/>
          <w:sz w:val="20"/>
          <w:szCs w:val="20"/>
        </w:rPr>
      </w:pPr>
      <w:r w:rsidRPr="00584AF3">
        <w:rPr>
          <w:iCs/>
          <w:sz w:val="20"/>
          <w:szCs w:val="20"/>
        </w:rPr>
        <w:t>”</w:t>
      </w:r>
    </w:p>
    <w:p w14:paraId="64F73074" w14:textId="77777777" w:rsidR="00023102" w:rsidRPr="00584AF3" w:rsidRDefault="00023102" w:rsidP="00023102">
      <w:pPr>
        <w:tabs>
          <w:tab w:val="left" w:pos="851"/>
        </w:tabs>
        <w:rPr>
          <w:iCs/>
          <w:sz w:val="20"/>
          <w:szCs w:val="20"/>
        </w:rPr>
      </w:pPr>
      <w:r w:rsidRPr="00584AF3">
        <w:rPr>
          <w:iCs/>
          <w:sz w:val="20"/>
          <w:szCs w:val="20"/>
        </w:rPr>
        <w:t xml:space="preserve">and substituting </w:t>
      </w:r>
    </w:p>
    <w:p w14:paraId="7A0ABCFC" w14:textId="77777777" w:rsidR="00023102" w:rsidRDefault="00023102" w:rsidP="00023102">
      <w:pPr>
        <w:tabs>
          <w:tab w:val="left" w:pos="851"/>
        </w:tabs>
        <w:rPr>
          <w:iCs/>
          <w:sz w:val="20"/>
          <w:szCs w:val="20"/>
        </w:rPr>
      </w:pPr>
      <w:r>
        <w:rPr>
          <w:iCs/>
          <w:sz w:val="20"/>
          <w:szCs w:val="20"/>
        </w:rPr>
        <w:br w:type="page"/>
      </w:r>
    </w:p>
    <w:p w14:paraId="09011081" w14:textId="77777777" w:rsidR="00023102" w:rsidRPr="00584AF3" w:rsidRDefault="00023102" w:rsidP="00023102">
      <w:pPr>
        <w:keepNext/>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4A0ADE0F" w14:textId="77777777" w:rsidTr="003D609A">
        <w:trPr>
          <w:cantSplit/>
        </w:trPr>
        <w:tc>
          <w:tcPr>
            <w:tcW w:w="1668" w:type="dxa"/>
            <w:vMerge w:val="restart"/>
          </w:tcPr>
          <w:p w14:paraId="08E2C935"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Lactose</w:t>
            </w:r>
          </w:p>
        </w:tc>
        <w:tc>
          <w:tcPr>
            <w:tcW w:w="2268" w:type="dxa"/>
            <w:vMerge w:val="restart"/>
          </w:tcPr>
          <w:p w14:paraId="7F4DAD66"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62021644"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Free</w:t>
            </w:r>
          </w:p>
        </w:tc>
        <w:tc>
          <w:tcPr>
            <w:tcW w:w="3010" w:type="dxa"/>
          </w:tcPr>
          <w:p w14:paraId="051D246B"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detectable lactose.</w:t>
            </w:r>
          </w:p>
        </w:tc>
      </w:tr>
      <w:tr w:rsidR="00023102" w:rsidRPr="00584AF3" w14:paraId="50FAE739" w14:textId="77777777" w:rsidTr="003D609A">
        <w:trPr>
          <w:cantSplit/>
        </w:trPr>
        <w:tc>
          <w:tcPr>
            <w:tcW w:w="1668" w:type="dxa"/>
            <w:vMerge/>
          </w:tcPr>
          <w:p w14:paraId="1DF5C057"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77E089BE" w14:textId="77777777" w:rsidR="00023102" w:rsidRPr="00584AF3" w:rsidRDefault="00023102" w:rsidP="003D609A">
            <w:pPr>
              <w:ind w:left="142" w:hanging="142"/>
              <w:rPr>
                <w:rFonts w:eastAsiaTheme="minorHAnsi" w:cstheme="minorBidi"/>
                <w:bCs/>
                <w:sz w:val="18"/>
                <w:szCs w:val="20"/>
                <w:lang w:eastAsia="en-AU" w:bidi="ar-SA"/>
              </w:rPr>
            </w:pPr>
          </w:p>
        </w:tc>
        <w:tc>
          <w:tcPr>
            <w:tcW w:w="2126" w:type="dxa"/>
          </w:tcPr>
          <w:p w14:paraId="7C112A71"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39962AF6"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more than    2 g of lactose per 100 g of the food.</w:t>
            </w:r>
          </w:p>
        </w:tc>
      </w:tr>
    </w:tbl>
    <w:p w14:paraId="448556F7" w14:textId="77777777" w:rsidR="00023102" w:rsidRPr="00584AF3" w:rsidRDefault="00023102" w:rsidP="00023102">
      <w:pPr>
        <w:tabs>
          <w:tab w:val="left" w:pos="851"/>
        </w:tabs>
        <w:jc w:val="right"/>
        <w:rPr>
          <w:iCs/>
          <w:sz w:val="20"/>
          <w:szCs w:val="20"/>
        </w:rPr>
      </w:pPr>
      <w:r w:rsidRPr="00584AF3">
        <w:rPr>
          <w:iCs/>
          <w:sz w:val="20"/>
          <w:szCs w:val="20"/>
        </w:rPr>
        <w:t>”</w:t>
      </w:r>
    </w:p>
    <w:p w14:paraId="4A6612BA" w14:textId="77777777" w:rsidR="00023102" w:rsidRDefault="00023102" w:rsidP="00023102">
      <w:pPr>
        <w:tabs>
          <w:tab w:val="left" w:pos="851"/>
        </w:tabs>
        <w:rPr>
          <w:iCs/>
          <w:sz w:val="20"/>
          <w:szCs w:val="20"/>
        </w:rPr>
      </w:pPr>
    </w:p>
    <w:p w14:paraId="48E950F9" w14:textId="77777777" w:rsidR="00023102" w:rsidRPr="00584AF3" w:rsidRDefault="00023102" w:rsidP="00023102">
      <w:pPr>
        <w:tabs>
          <w:tab w:val="left" w:pos="851"/>
        </w:tabs>
        <w:rPr>
          <w:iCs/>
          <w:sz w:val="20"/>
          <w:szCs w:val="20"/>
        </w:rPr>
      </w:pPr>
      <w:r w:rsidRPr="00584AF3">
        <w:rPr>
          <w:iCs/>
          <w:sz w:val="20"/>
          <w:szCs w:val="20"/>
        </w:rPr>
        <w:t>[2.4]</w:t>
      </w:r>
      <w:r w:rsidRPr="00584AF3">
        <w:rPr>
          <w:iCs/>
          <w:sz w:val="20"/>
          <w:szCs w:val="20"/>
        </w:rPr>
        <w:tab/>
        <w:t xml:space="preserve">omitting from Schedule 1 </w:t>
      </w:r>
    </w:p>
    <w:p w14:paraId="39D42D69" w14:textId="77777777" w:rsidR="00023102" w:rsidRPr="00584AF3" w:rsidRDefault="00023102" w:rsidP="00023102">
      <w:pPr>
        <w:tabs>
          <w:tab w:val="left" w:pos="851"/>
        </w:tabs>
        <w:rPr>
          <w:iCs/>
          <w:sz w:val="20"/>
          <w:szCs w:val="20"/>
        </w:rPr>
      </w:pPr>
    </w:p>
    <w:p w14:paraId="1BDEDD87" w14:textId="77777777" w:rsidR="00023102" w:rsidRPr="00584AF3" w:rsidRDefault="00023102" w:rsidP="00023102">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7BF28A16" w14:textId="77777777" w:rsidTr="003D609A">
        <w:tc>
          <w:tcPr>
            <w:tcW w:w="1668" w:type="dxa"/>
            <w:vMerge w:val="restart"/>
          </w:tcPr>
          <w:p w14:paraId="4FE5495A"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Salt or sodium</w:t>
            </w:r>
          </w:p>
        </w:tc>
        <w:tc>
          <w:tcPr>
            <w:tcW w:w="2268" w:type="dxa"/>
            <w:vMerge w:val="restart"/>
          </w:tcPr>
          <w:p w14:paraId="2A3BDC36"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The nutrition information panel indicates the potassium content.</w:t>
            </w:r>
          </w:p>
        </w:tc>
        <w:tc>
          <w:tcPr>
            <w:tcW w:w="2126" w:type="dxa"/>
          </w:tcPr>
          <w:p w14:paraId="557BC747"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0898C976"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no more sodium than –</w:t>
            </w:r>
          </w:p>
          <w:p w14:paraId="68755F19" w14:textId="77777777" w:rsidR="00023102" w:rsidRPr="00584AF3" w:rsidRDefault="00023102" w:rsidP="003D609A">
            <w:pPr>
              <w:ind w:left="284" w:hanging="284"/>
              <w:rPr>
                <w:rFonts w:eastAsiaTheme="minorHAnsi" w:cstheme="minorBidi"/>
                <w:bCs/>
                <w:sz w:val="18"/>
                <w:szCs w:val="20"/>
                <w:lang w:eastAsia="en-AU" w:bidi="ar-SA"/>
              </w:rPr>
            </w:pPr>
          </w:p>
          <w:p w14:paraId="79CE3ADD"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120 mg per 100 mL for liquid food; or</w:t>
            </w:r>
          </w:p>
          <w:p w14:paraId="77B528FE"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120 mg per 100 g for solid food.</w:t>
            </w:r>
          </w:p>
        </w:tc>
      </w:tr>
      <w:tr w:rsidR="00023102" w:rsidRPr="00584AF3" w14:paraId="1F13AF7D" w14:textId="77777777" w:rsidTr="003D609A">
        <w:tc>
          <w:tcPr>
            <w:tcW w:w="1668" w:type="dxa"/>
            <w:vMerge/>
          </w:tcPr>
          <w:p w14:paraId="22A86AE6"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3219CB9A"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22A4A8D1"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Reduced or Light/Lite</w:t>
            </w:r>
          </w:p>
        </w:tc>
        <w:tc>
          <w:tcPr>
            <w:tcW w:w="3010" w:type="dxa"/>
          </w:tcPr>
          <w:p w14:paraId="21ED138C"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at least 25% less sodium than in the same quantity of reference food.</w:t>
            </w:r>
          </w:p>
        </w:tc>
      </w:tr>
      <w:tr w:rsidR="00023102" w:rsidRPr="00584AF3" w14:paraId="070A738E" w14:textId="77777777" w:rsidTr="003D609A">
        <w:tc>
          <w:tcPr>
            <w:tcW w:w="1668" w:type="dxa"/>
            <w:vMerge/>
          </w:tcPr>
          <w:p w14:paraId="514008C7"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209DA73E"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5B25AD0B"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No added</w:t>
            </w:r>
          </w:p>
        </w:tc>
        <w:tc>
          <w:tcPr>
            <w:tcW w:w="3010" w:type="dxa"/>
          </w:tcPr>
          <w:p w14:paraId="4F6C6FB0"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added sodium compound including no added salt; and</w:t>
            </w:r>
          </w:p>
          <w:p w14:paraId="0E0593F9"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ingredients of the food contain no added sodium compound including no added salt.</w:t>
            </w:r>
          </w:p>
        </w:tc>
      </w:tr>
      <w:tr w:rsidR="00023102" w:rsidRPr="00584AF3" w14:paraId="6BEA8681" w14:textId="77777777" w:rsidTr="003D609A">
        <w:tc>
          <w:tcPr>
            <w:tcW w:w="1668" w:type="dxa"/>
            <w:vMerge/>
          </w:tcPr>
          <w:p w14:paraId="36FFB5A0"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0AE786F5"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6F311195"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Unsalted</w:t>
            </w:r>
          </w:p>
        </w:tc>
        <w:tc>
          <w:tcPr>
            <w:tcW w:w="3010" w:type="dxa"/>
          </w:tcPr>
          <w:p w14:paraId="487C8441"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meets the conditions for a nutrition content claim about no added salt or sodium.</w:t>
            </w:r>
          </w:p>
        </w:tc>
      </w:tr>
    </w:tbl>
    <w:p w14:paraId="1F36FB5A" w14:textId="77777777" w:rsidR="00023102" w:rsidRPr="00584AF3" w:rsidRDefault="00023102" w:rsidP="00023102">
      <w:pPr>
        <w:tabs>
          <w:tab w:val="left" w:pos="851"/>
        </w:tabs>
        <w:jc w:val="right"/>
        <w:rPr>
          <w:iCs/>
          <w:sz w:val="20"/>
          <w:szCs w:val="20"/>
        </w:rPr>
      </w:pPr>
      <w:r w:rsidRPr="00584AF3">
        <w:rPr>
          <w:iCs/>
          <w:sz w:val="20"/>
          <w:szCs w:val="20"/>
        </w:rPr>
        <w:t>”</w:t>
      </w:r>
    </w:p>
    <w:p w14:paraId="1B55622C" w14:textId="77777777" w:rsidR="00023102" w:rsidRDefault="00023102" w:rsidP="00023102">
      <w:pPr>
        <w:tabs>
          <w:tab w:val="left" w:pos="851"/>
        </w:tabs>
        <w:rPr>
          <w:iCs/>
          <w:sz w:val="20"/>
          <w:szCs w:val="20"/>
        </w:rPr>
      </w:pPr>
    </w:p>
    <w:p w14:paraId="35A3E77C" w14:textId="77777777" w:rsidR="00023102" w:rsidRPr="00584AF3" w:rsidRDefault="00023102" w:rsidP="00023102">
      <w:pPr>
        <w:tabs>
          <w:tab w:val="left" w:pos="851"/>
        </w:tabs>
        <w:rPr>
          <w:iCs/>
          <w:sz w:val="20"/>
          <w:szCs w:val="20"/>
        </w:rPr>
      </w:pPr>
      <w:r w:rsidRPr="00584AF3">
        <w:rPr>
          <w:iCs/>
          <w:sz w:val="20"/>
          <w:szCs w:val="20"/>
        </w:rPr>
        <w:t xml:space="preserve">and substituting </w:t>
      </w:r>
    </w:p>
    <w:p w14:paraId="6BF44E0B" w14:textId="77777777" w:rsidR="00023102" w:rsidRPr="00584AF3" w:rsidRDefault="00023102" w:rsidP="00023102">
      <w:pPr>
        <w:tabs>
          <w:tab w:val="left" w:pos="851"/>
        </w:tabs>
        <w:rPr>
          <w:iCs/>
          <w:sz w:val="20"/>
          <w:szCs w:val="20"/>
        </w:rPr>
      </w:pPr>
    </w:p>
    <w:p w14:paraId="1662FF93" w14:textId="77777777" w:rsidR="00023102" w:rsidRPr="00584AF3" w:rsidRDefault="00023102" w:rsidP="00023102">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2A25CD67" w14:textId="77777777" w:rsidTr="003D609A">
        <w:tc>
          <w:tcPr>
            <w:tcW w:w="1668" w:type="dxa"/>
            <w:vMerge w:val="restart"/>
          </w:tcPr>
          <w:p w14:paraId="6EF35C61"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Salt or sodium</w:t>
            </w:r>
          </w:p>
        </w:tc>
        <w:tc>
          <w:tcPr>
            <w:tcW w:w="2268" w:type="dxa"/>
            <w:vMerge w:val="restart"/>
          </w:tcPr>
          <w:p w14:paraId="092BD500"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719719B8"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4CC294F0"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no more sodium than –</w:t>
            </w:r>
          </w:p>
          <w:p w14:paraId="5FD8A702" w14:textId="77777777" w:rsidR="00023102" w:rsidRPr="00584AF3" w:rsidRDefault="00023102" w:rsidP="003D609A">
            <w:pPr>
              <w:ind w:left="284" w:hanging="284"/>
              <w:rPr>
                <w:rFonts w:eastAsiaTheme="minorHAnsi" w:cstheme="minorBidi"/>
                <w:bCs/>
                <w:sz w:val="18"/>
                <w:szCs w:val="20"/>
                <w:lang w:eastAsia="en-AU" w:bidi="ar-SA"/>
              </w:rPr>
            </w:pPr>
          </w:p>
          <w:p w14:paraId="158BE02E"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120 mg per 100 mL for liquid food; or</w:t>
            </w:r>
          </w:p>
          <w:p w14:paraId="32240021"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120 mg per 100 g for solid food.</w:t>
            </w:r>
          </w:p>
        </w:tc>
      </w:tr>
      <w:tr w:rsidR="00023102" w:rsidRPr="00584AF3" w14:paraId="7284D54E" w14:textId="77777777" w:rsidTr="003D609A">
        <w:tc>
          <w:tcPr>
            <w:tcW w:w="1668" w:type="dxa"/>
            <w:vMerge/>
          </w:tcPr>
          <w:p w14:paraId="0745B2FA"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17EFCA09"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65266AFF"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Reduced or Light/Lite</w:t>
            </w:r>
          </w:p>
        </w:tc>
        <w:tc>
          <w:tcPr>
            <w:tcW w:w="3010" w:type="dxa"/>
          </w:tcPr>
          <w:p w14:paraId="0DE3AD87"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at least 25% less sodium than in the same quantity of reference food.</w:t>
            </w:r>
          </w:p>
        </w:tc>
      </w:tr>
      <w:tr w:rsidR="00023102" w:rsidRPr="00584AF3" w14:paraId="497C6ABF" w14:textId="77777777" w:rsidTr="003D609A">
        <w:tc>
          <w:tcPr>
            <w:tcW w:w="1668" w:type="dxa"/>
            <w:vMerge/>
          </w:tcPr>
          <w:p w14:paraId="6CF7F331"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7F39812E"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5C1DAE95"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No added</w:t>
            </w:r>
          </w:p>
        </w:tc>
        <w:tc>
          <w:tcPr>
            <w:tcW w:w="3010" w:type="dxa"/>
          </w:tcPr>
          <w:p w14:paraId="79BF611E"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added sodium compound including no added salt; and</w:t>
            </w:r>
          </w:p>
          <w:p w14:paraId="3DFDB7AE"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ingredients of the food contain no added sodium compound including no added salt.</w:t>
            </w:r>
          </w:p>
        </w:tc>
      </w:tr>
      <w:tr w:rsidR="00023102" w:rsidRPr="00584AF3" w14:paraId="76293DAB" w14:textId="77777777" w:rsidTr="003D609A">
        <w:tc>
          <w:tcPr>
            <w:tcW w:w="1668" w:type="dxa"/>
            <w:vMerge/>
          </w:tcPr>
          <w:p w14:paraId="451807BD" w14:textId="77777777" w:rsidR="00023102" w:rsidRPr="00584AF3" w:rsidRDefault="00023102" w:rsidP="003D609A">
            <w:pPr>
              <w:ind w:left="142" w:hanging="142"/>
              <w:rPr>
                <w:rFonts w:eastAsiaTheme="minorHAnsi"/>
                <w:bCs/>
                <w:sz w:val="18"/>
                <w:szCs w:val="20"/>
                <w:lang w:eastAsia="en-AU" w:bidi="ar-SA"/>
              </w:rPr>
            </w:pPr>
          </w:p>
        </w:tc>
        <w:tc>
          <w:tcPr>
            <w:tcW w:w="2268" w:type="dxa"/>
            <w:vMerge/>
          </w:tcPr>
          <w:p w14:paraId="45EDBC25" w14:textId="77777777" w:rsidR="00023102" w:rsidRPr="00584AF3" w:rsidRDefault="00023102" w:rsidP="003D609A">
            <w:pPr>
              <w:ind w:left="142" w:hanging="142"/>
              <w:rPr>
                <w:rFonts w:eastAsiaTheme="minorHAnsi"/>
                <w:bCs/>
                <w:sz w:val="18"/>
                <w:szCs w:val="20"/>
                <w:lang w:eastAsia="en-AU" w:bidi="ar-SA"/>
              </w:rPr>
            </w:pPr>
          </w:p>
        </w:tc>
        <w:tc>
          <w:tcPr>
            <w:tcW w:w="2126" w:type="dxa"/>
          </w:tcPr>
          <w:p w14:paraId="4C57B327"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Unsalted</w:t>
            </w:r>
          </w:p>
        </w:tc>
        <w:tc>
          <w:tcPr>
            <w:tcW w:w="3010" w:type="dxa"/>
          </w:tcPr>
          <w:p w14:paraId="5B80C598" w14:textId="77777777" w:rsidR="00023102" w:rsidRPr="00584AF3" w:rsidRDefault="00023102" w:rsidP="003D609A">
            <w:pPr>
              <w:ind w:left="142" w:hanging="142"/>
              <w:rPr>
                <w:rFonts w:eastAsiaTheme="minorHAnsi"/>
                <w:b/>
                <w:bCs/>
                <w:sz w:val="18"/>
                <w:szCs w:val="20"/>
                <w:lang w:eastAsia="en-AU" w:bidi="ar-SA"/>
              </w:rPr>
            </w:pPr>
            <w:r w:rsidRPr="00584AF3">
              <w:rPr>
                <w:rFonts w:eastAsiaTheme="minorHAnsi"/>
                <w:bCs/>
                <w:sz w:val="18"/>
                <w:szCs w:val="20"/>
                <w:lang w:eastAsia="en-AU" w:bidi="ar-SA"/>
              </w:rPr>
              <w:t>The food meets the conditions for a nutrition content claim about no added salt or sodium.</w:t>
            </w:r>
          </w:p>
        </w:tc>
      </w:tr>
    </w:tbl>
    <w:p w14:paraId="272FC714" w14:textId="77777777" w:rsidR="00023102" w:rsidRPr="00584AF3" w:rsidRDefault="00023102" w:rsidP="00023102">
      <w:pPr>
        <w:tabs>
          <w:tab w:val="left" w:pos="851"/>
        </w:tabs>
        <w:jc w:val="right"/>
        <w:rPr>
          <w:iCs/>
          <w:sz w:val="20"/>
          <w:szCs w:val="20"/>
        </w:rPr>
      </w:pPr>
      <w:r w:rsidRPr="00584AF3">
        <w:rPr>
          <w:iCs/>
          <w:sz w:val="20"/>
          <w:szCs w:val="20"/>
        </w:rPr>
        <w:t>”</w:t>
      </w:r>
    </w:p>
    <w:p w14:paraId="6EF50AC7" w14:textId="77777777" w:rsidR="00023102" w:rsidRPr="00584AF3" w:rsidRDefault="00023102" w:rsidP="00023102">
      <w:pPr>
        <w:tabs>
          <w:tab w:val="left" w:pos="851"/>
        </w:tabs>
        <w:rPr>
          <w:iCs/>
          <w:sz w:val="20"/>
          <w:szCs w:val="20"/>
        </w:rPr>
      </w:pPr>
      <w:r w:rsidRPr="00584AF3">
        <w:rPr>
          <w:iCs/>
          <w:sz w:val="20"/>
          <w:szCs w:val="20"/>
        </w:rPr>
        <w:t>[2.5]</w:t>
      </w:r>
      <w:r w:rsidRPr="00584AF3">
        <w:rPr>
          <w:iCs/>
          <w:sz w:val="20"/>
          <w:szCs w:val="20"/>
        </w:rPr>
        <w:tab/>
        <w:t xml:space="preserve">omitting from Schedule 1 </w:t>
      </w:r>
    </w:p>
    <w:p w14:paraId="49AB5D31" w14:textId="77777777" w:rsidR="00023102" w:rsidRDefault="00023102" w:rsidP="00023102">
      <w:pPr>
        <w:tabs>
          <w:tab w:val="left" w:pos="851"/>
        </w:tabs>
        <w:rPr>
          <w:iCs/>
          <w:sz w:val="20"/>
          <w:szCs w:val="20"/>
        </w:rPr>
      </w:pPr>
      <w:r>
        <w:rPr>
          <w:iCs/>
          <w:sz w:val="20"/>
          <w:szCs w:val="20"/>
        </w:rPr>
        <w:br w:type="page"/>
      </w:r>
    </w:p>
    <w:p w14:paraId="4E230607" w14:textId="77777777" w:rsidR="00023102" w:rsidRPr="00584AF3" w:rsidRDefault="00023102" w:rsidP="00023102">
      <w:pPr>
        <w:keepNext/>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6B46FDAA" w14:textId="77777777" w:rsidTr="003D609A">
        <w:trPr>
          <w:cantSplit/>
        </w:trPr>
        <w:tc>
          <w:tcPr>
            <w:tcW w:w="1668" w:type="dxa"/>
            <w:vMerge w:val="restart"/>
            <w:tcBorders>
              <w:bottom w:val="nil"/>
            </w:tcBorders>
          </w:tcPr>
          <w:p w14:paraId="30AB2398"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30814B06"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6B27DF9F"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73BACAAC" w14:textId="77777777" w:rsidR="00023102" w:rsidRPr="00584AF3" w:rsidRDefault="00023102" w:rsidP="003D609A">
            <w:pPr>
              <w:ind w:left="142" w:hanging="142"/>
              <w:rPr>
                <w:rFonts w:eastAsiaTheme="minorHAnsi" w:cstheme="minorBidi"/>
                <w:bCs/>
                <w:sz w:val="18"/>
                <w:szCs w:val="20"/>
                <w:lang w:eastAsia="en-AU" w:bidi="ar-SA"/>
              </w:rPr>
            </w:pPr>
          </w:p>
          <w:p w14:paraId="5FFE28AF"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346BB9AF"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23BF4EEF" w14:textId="77777777" w:rsidR="00023102" w:rsidRPr="00584AF3" w:rsidRDefault="00023102" w:rsidP="003D609A">
            <w:pPr>
              <w:ind w:left="142" w:hanging="142"/>
              <w:rPr>
                <w:rFonts w:eastAsiaTheme="minorHAnsi" w:cstheme="minorBidi"/>
                <w:bCs/>
                <w:sz w:val="18"/>
                <w:szCs w:val="20"/>
                <w:lang w:eastAsia="en-AU" w:bidi="ar-SA"/>
              </w:rPr>
            </w:pPr>
          </w:p>
          <w:p w14:paraId="7D43F0ED"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327EA697" w14:textId="77777777" w:rsidR="00023102" w:rsidRPr="00584AF3" w:rsidRDefault="00023102" w:rsidP="003D609A">
            <w:pPr>
              <w:ind w:left="142" w:hanging="142"/>
              <w:rPr>
                <w:rFonts w:eastAsiaTheme="minorHAnsi" w:cstheme="minorBidi"/>
                <w:bCs/>
                <w:sz w:val="18"/>
                <w:szCs w:val="20"/>
                <w:lang w:eastAsia="en-AU" w:bidi="ar-SA"/>
              </w:rPr>
            </w:pPr>
          </w:p>
          <w:p w14:paraId="3FC9B750"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388A4457"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no more saturated fatty acids and trans fatty acids than 5 g per     100 g; and</w:t>
            </w:r>
          </w:p>
          <w:p w14:paraId="2B6C9400" w14:textId="77777777" w:rsidR="00023102" w:rsidRPr="00584AF3" w:rsidRDefault="00023102" w:rsidP="003D609A">
            <w:pPr>
              <w:rPr>
                <w:rFonts w:eastAsiaTheme="minorHAnsi" w:cstheme="minorBidi"/>
                <w:bCs/>
                <w:sz w:val="18"/>
                <w:szCs w:val="20"/>
                <w:lang w:eastAsia="en-AU" w:bidi="ar-SA"/>
              </w:rPr>
            </w:pPr>
          </w:p>
        </w:tc>
        <w:tc>
          <w:tcPr>
            <w:tcW w:w="2126" w:type="dxa"/>
            <w:tcBorders>
              <w:bottom w:val="single" w:sz="4" w:space="0" w:color="auto"/>
            </w:tcBorders>
          </w:tcPr>
          <w:p w14:paraId="7F768808"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Good Source</w:t>
            </w:r>
          </w:p>
        </w:tc>
        <w:tc>
          <w:tcPr>
            <w:tcW w:w="3010" w:type="dxa"/>
            <w:tcBorders>
              <w:bottom w:val="single" w:sz="4" w:space="0" w:color="auto"/>
            </w:tcBorders>
          </w:tcPr>
          <w:p w14:paraId="014D986A"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18DCD794"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023102" w:rsidRPr="00584AF3" w14:paraId="4F74FFB0" w14:textId="77777777" w:rsidTr="003D609A">
        <w:tc>
          <w:tcPr>
            <w:tcW w:w="1668" w:type="dxa"/>
            <w:vMerge/>
            <w:tcBorders>
              <w:left w:val="single" w:sz="4" w:space="0" w:color="auto"/>
              <w:bottom w:val="nil"/>
              <w:right w:val="single" w:sz="4" w:space="0" w:color="auto"/>
            </w:tcBorders>
          </w:tcPr>
          <w:p w14:paraId="1D7E513E" w14:textId="77777777" w:rsidR="00023102" w:rsidRPr="00584AF3" w:rsidRDefault="00023102" w:rsidP="003D609A">
            <w:pPr>
              <w:ind w:left="142" w:hanging="142"/>
              <w:rPr>
                <w:rFonts w:eastAsiaTheme="minorHAnsi" w:cstheme="minorBidi"/>
                <w:bCs/>
                <w:sz w:val="18"/>
                <w:szCs w:val="20"/>
                <w:lang w:eastAsia="en-AU" w:bidi="ar-SA"/>
              </w:rPr>
            </w:pPr>
          </w:p>
        </w:tc>
        <w:tc>
          <w:tcPr>
            <w:tcW w:w="2268" w:type="dxa"/>
            <w:vMerge/>
            <w:tcBorders>
              <w:left w:val="single" w:sz="4" w:space="0" w:color="auto"/>
              <w:bottom w:val="nil"/>
              <w:right w:val="single" w:sz="4" w:space="0" w:color="auto"/>
            </w:tcBorders>
          </w:tcPr>
          <w:p w14:paraId="11FF7797" w14:textId="77777777" w:rsidR="00023102" w:rsidRPr="00584AF3" w:rsidRDefault="00023102" w:rsidP="003D609A">
            <w:pPr>
              <w:ind w:left="142" w:hanging="142"/>
              <w:rPr>
                <w:rFonts w:eastAsiaTheme="minorHAnsi" w:cstheme="minorBidi"/>
                <w:bCs/>
                <w:sz w:val="18"/>
                <w:szCs w:val="20"/>
                <w:lang w:eastAsia="en-AU" w:bidi="ar-SA"/>
              </w:rPr>
            </w:pPr>
          </w:p>
        </w:tc>
        <w:tc>
          <w:tcPr>
            <w:tcW w:w="2126" w:type="dxa"/>
            <w:tcBorders>
              <w:top w:val="single" w:sz="4" w:space="0" w:color="auto"/>
              <w:left w:val="single" w:sz="4" w:space="0" w:color="auto"/>
              <w:bottom w:val="nil"/>
              <w:right w:val="single" w:sz="4" w:space="0" w:color="auto"/>
            </w:tcBorders>
          </w:tcPr>
          <w:p w14:paraId="109B9AF3"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Borders>
              <w:top w:val="single" w:sz="4" w:space="0" w:color="auto"/>
              <w:left w:val="single" w:sz="4" w:space="0" w:color="auto"/>
              <w:bottom w:val="nil"/>
              <w:right w:val="single" w:sz="4" w:space="0" w:color="auto"/>
            </w:tcBorders>
          </w:tcPr>
          <w:p w14:paraId="3C940D81"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16D6F4AB"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r w:rsidR="00023102" w:rsidRPr="00584AF3" w14:paraId="009BC38D" w14:textId="77777777" w:rsidTr="003D609A">
        <w:tc>
          <w:tcPr>
            <w:tcW w:w="1668" w:type="dxa"/>
            <w:tcBorders>
              <w:top w:val="nil"/>
              <w:left w:val="single" w:sz="4" w:space="0" w:color="auto"/>
              <w:bottom w:val="single" w:sz="4" w:space="0" w:color="auto"/>
              <w:right w:val="single" w:sz="4" w:space="0" w:color="auto"/>
            </w:tcBorders>
          </w:tcPr>
          <w:p w14:paraId="5681EC49" w14:textId="77777777" w:rsidR="00023102" w:rsidRPr="00584AF3" w:rsidRDefault="00023102" w:rsidP="003D609A">
            <w:pPr>
              <w:ind w:left="142" w:hanging="142"/>
              <w:rPr>
                <w:rFonts w:eastAsiaTheme="minorHAnsi" w:cstheme="minorBidi"/>
                <w:bCs/>
                <w:sz w:val="18"/>
                <w:szCs w:val="20"/>
                <w:lang w:eastAsia="en-AU" w:bidi="ar-SA"/>
              </w:rPr>
            </w:pPr>
          </w:p>
        </w:tc>
        <w:tc>
          <w:tcPr>
            <w:tcW w:w="2268" w:type="dxa"/>
            <w:tcBorders>
              <w:top w:val="nil"/>
              <w:left w:val="single" w:sz="4" w:space="0" w:color="auto"/>
              <w:bottom w:val="single" w:sz="4" w:space="0" w:color="auto"/>
              <w:right w:val="single" w:sz="4" w:space="0" w:color="auto"/>
            </w:tcBorders>
          </w:tcPr>
          <w:p w14:paraId="51529532"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(d)</w:t>
            </w:r>
            <w:r w:rsidRPr="00584AF3">
              <w:rPr>
                <w:rFonts w:eastAsiaTheme="minorHAnsi" w:cstheme="minorBidi"/>
                <w:bCs/>
                <w:sz w:val="18"/>
                <w:szCs w:val="20"/>
                <w:lang w:eastAsia="en-AU" w:bidi="ar-SA"/>
              </w:rPr>
              <w:tab/>
              <w:t>the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14:paraId="68326F7C" w14:textId="77777777" w:rsidR="00023102" w:rsidRPr="00584AF3" w:rsidRDefault="00023102" w:rsidP="003D609A">
            <w:pPr>
              <w:ind w:left="142" w:hanging="142"/>
              <w:rPr>
                <w:rFonts w:eastAsiaTheme="minorHAnsi" w:cstheme="minorBidi"/>
                <w:bCs/>
                <w:sz w:val="18"/>
                <w:szCs w:val="20"/>
                <w:lang w:eastAsia="en-AU" w:bidi="ar-SA"/>
              </w:rPr>
            </w:pPr>
          </w:p>
        </w:tc>
        <w:tc>
          <w:tcPr>
            <w:tcW w:w="3010" w:type="dxa"/>
            <w:tcBorders>
              <w:top w:val="nil"/>
              <w:left w:val="single" w:sz="4" w:space="0" w:color="auto"/>
              <w:bottom w:val="single" w:sz="4" w:space="0" w:color="auto"/>
              <w:right w:val="single" w:sz="4" w:space="0" w:color="auto"/>
            </w:tcBorders>
          </w:tcPr>
          <w:p w14:paraId="71EBDD75" w14:textId="77777777" w:rsidR="00023102" w:rsidRPr="00584AF3" w:rsidRDefault="00023102" w:rsidP="003D609A">
            <w:pPr>
              <w:ind w:left="284" w:hanging="284"/>
              <w:rPr>
                <w:rFonts w:eastAsiaTheme="minorHAnsi" w:cstheme="minorBidi"/>
                <w:bCs/>
                <w:sz w:val="18"/>
                <w:szCs w:val="20"/>
                <w:lang w:eastAsia="en-AU" w:bidi="ar-SA"/>
              </w:rPr>
            </w:pPr>
          </w:p>
        </w:tc>
      </w:tr>
    </w:tbl>
    <w:p w14:paraId="72A996DE" w14:textId="77777777" w:rsidR="00023102" w:rsidRDefault="00023102" w:rsidP="00023102">
      <w:pPr>
        <w:tabs>
          <w:tab w:val="left" w:pos="851"/>
        </w:tabs>
        <w:jc w:val="right"/>
        <w:rPr>
          <w:iCs/>
          <w:sz w:val="20"/>
          <w:szCs w:val="20"/>
        </w:rPr>
      </w:pPr>
      <w:r w:rsidRPr="00584AF3">
        <w:rPr>
          <w:iCs/>
          <w:sz w:val="20"/>
          <w:szCs w:val="20"/>
        </w:rPr>
        <w:t>”</w:t>
      </w:r>
    </w:p>
    <w:p w14:paraId="6F0DA7A7" w14:textId="77777777" w:rsidR="00023102" w:rsidRPr="00584AF3" w:rsidRDefault="00023102" w:rsidP="00023102">
      <w:pPr>
        <w:tabs>
          <w:tab w:val="left" w:pos="851"/>
        </w:tabs>
        <w:jc w:val="right"/>
        <w:rPr>
          <w:iCs/>
          <w:sz w:val="20"/>
          <w:szCs w:val="20"/>
        </w:rPr>
      </w:pPr>
    </w:p>
    <w:p w14:paraId="79E59159" w14:textId="77777777" w:rsidR="00023102" w:rsidRPr="00584AF3" w:rsidRDefault="00023102" w:rsidP="00023102">
      <w:pPr>
        <w:tabs>
          <w:tab w:val="left" w:pos="851"/>
        </w:tabs>
        <w:rPr>
          <w:iCs/>
          <w:sz w:val="20"/>
          <w:szCs w:val="20"/>
        </w:rPr>
      </w:pPr>
      <w:r w:rsidRPr="00584AF3">
        <w:rPr>
          <w:iCs/>
          <w:sz w:val="20"/>
          <w:szCs w:val="20"/>
        </w:rPr>
        <w:t xml:space="preserve">and substituting </w:t>
      </w:r>
    </w:p>
    <w:p w14:paraId="770601E2" w14:textId="77777777" w:rsidR="00023102" w:rsidRPr="00584AF3" w:rsidRDefault="00023102" w:rsidP="00023102">
      <w:pPr>
        <w:tabs>
          <w:tab w:val="left" w:pos="851"/>
        </w:tabs>
        <w:rPr>
          <w:iCs/>
          <w:sz w:val="20"/>
          <w:szCs w:val="20"/>
        </w:rPr>
      </w:pPr>
    </w:p>
    <w:p w14:paraId="3C83335D" w14:textId="77777777" w:rsidR="00023102" w:rsidRDefault="00023102" w:rsidP="00023102">
      <w:pPr>
        <w:tabs>
          <w:tab w:val="left" w:pos="851"/>
        </w:tabs>
        <w:rPr>
          <w:iCs/>
          <w:sz w:val="20"/>
          <w:szCs w:val="20"/>
        </w:rPr>
      </w:pPr>
      <w:r>
        <w:rPr>
          <w:iCs/>
          <w:sz w:val="20"/>
          <w:szCs w:val="20"/>
        </w:rPr>
        <w:br w:type="page"/>
      </w:r>
    </w:p>
    <w:p w14:paraId="10563ECB" w14:textId="77777777" w:rsidR="00023102" w:rsidRPr="00584AF3" w:rsidRDefault="00023102" w:rsidP="00023102">
      <w:pPr>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023102" w:rsidRPr="00584AF3" w14:paraId="63B6E82F" w14:textId="77777777" w:rsidTr="003D609A">
        <w:trPr>
          <w:cantSplit/>
        </w:trPr>
        <w:tc>
          <w:tcPr>
            <w:tcW w:w="1668" w:type="dxa"/>
            <w:vMerge w:val="restart"/>
          </w:tcPr>
          <w:p w14:paraId="57B3BA93"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25098886"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79C73E77"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6BB44780" w14:textId="77777777" w:rsidR="00023102" w:rsidRPr="00584AF3" w:rsidRDefault="00023102" w:rsidP="003D609A">
            <w:pPr>
              <w:ind w:left="142" w:hanging="142"/>
              <w:rPr>
                <w:rFonts w:eastAsiaTheme="minorHAnsi" w:cstheme="minorBidi"/>
                <w:bCs/>
                <w:sz w:val="18"/>
                <w:szCs w:val="20"/>
                <w:lang w:eastAsia="en-AU" w:bidi="ar-SA"/>
              </w:rPr>
            </w:pPr>
          </w:p>
          <w:p w14:paraId="7E27E578"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5B9B230E"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699CB0AB" w14:textId="77777777" w:rsidR="00023102" w:rsidRPr="00584AF3" w:rsidRDefault="00023102" w:rsidP="003D609A">
            <w:pPr>
              <w:rPr>
                <w:rFonts w:eastAsiaTheme="minorHAnsi" w:cstheme="minorBidi"/>
                <w:bCs/>
                <w:sz w:val="18"/>
                <w:szCs w:val="20"/>
                <w:lang w:eastAsia="en-AU" w:bidi="ar-SA"/>
              </w:rPr>
            </w:pPr>
          </w:p>
          <w:p w14:paraId="3B326F21"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18DE2B1E" w14:textId="77777777" w:rsidR="00023102" w:rsidRPr="00584AF3" w:rsidRDefault="00023102" w:rsidP="003D609A">
            <w:pPr>
              <w:ind w:left="142" w:hanging="142"/>
              <w:rPr>
                <w:rFonts w:eastAsiaTheme="minorHAnsi" w:cstheme="minorBidi"/>
                <w:bCs/>
                <w:sz w:val="18"/>
                <w:szCs w:val="20"/>
                <w:lang w:eastAsia="en-AU" w:bidi="ar-SA"/>
              </w:rPr>
            </w:pPr>
          </w:p>
          <w:p w14:paraId="1E28E77B"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22451B66" w14:textId="77777777" w:rsidR="00023102" w:rsidRPr="00584AF3" w:rsidRDefault="00023102" w:rsidP="003D609A">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no more saturated fatty acids and trans fatty acids than 5 g per     100 g.</w:t>
            </w:r>
          </w:p>
          <w:p w14:paraId="5038D6FE" w14:textId="77777777" w:rsidR="00023102" w:rsidRPr="00584AF3" w:rsidRDefault="00023102" w:rsidP="003D609A">
            <w:pPr>
              <w:rPr>
                <w:rFonts w:eastAsiaTheme="minorHAnsi" w:cstheme="minorBidi"/>
                <w:bCs/>
                <w:sz w:val="18"/>
                <w:szCs w:val="20"/>
                <w:lang w:eastAsia="en-AU" w:bidi="ar-SA"/>
              </w:rPr>
            </w:pPr>
          </w:p>
        </w:tc>
        <w:tc>
          <w:tcPr>
            <w:tcW w:w="2126" w:type="dxa"/>
          </w:tcPr>
          <w:p w14:paraId="2F9CBE4B"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Good Source</w:t>
            </w:r>
          </w:p>
        </w:tc>
        <w:tc>
          <w:tcPr>
            <w:tcW w:w="3010" w:type="dxa"/>
          </w:tcPr>
          <w:p w14:paraId="2B3D0BEE"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5FFF6447"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023102" w:rsidRPr="00584AF3" w14:paraId="2B910F8F" w14:textId="77777777" w:rsidTr="003D609A">
        <w:tc>
          <w:tcPr>
            <w:tcW w:w="1668" w:type="dxa"/>
            <w:vMerge/>
          </w:tcPr>
          <w:p w14:paraId="7AF63E98" w14:textId="77777777" w:rsidR="00023102" w:rsidRPr="00584AF3" w:rsidRDefault="00023102" w:rsidP="003D609A">
            <w:pPr>
              <w:ind w:left="142" w:hanging="142"/>
              <w:rPr>
                <w:rFonts w:eastAsiaTheme="minorHAnsi" w:cstheme="minorBidi"/>
                <w:bCs/>
                <w:sz w:val="18"/>
                <w:szCs w:val="20"/>
                <w:lang w:eastAsia="en-AU" w:bidi="ar-SA"/>
              </w:rPr>
            </w:pPr>
          </w:p>
        </w:tc>
        <w:tc>
          <w:tcPr>
            <w:tcW w:w="2268" w:type="dxa"/>
            <w:vMerge/>
          </w:tcPr>
          <w:p w14:paraId="53CC4028" w14:textId="77777777" w:rsidR="00023102" w:rsidRPr="00584AF3" w:rsidRDefault="00023102" w:rsidP="003D609A">
            <w:pPr>
              <w:ind w:left="142" w:hanging="142"/>
              <w:rPr>
                <w:rFonts w:eastAsiaTheme="minorHAnsi" w:cstheme="minorBidi"/>
                <w:bCs/>
                <w:sz w:val="18"/>
                <w:szCs w:val="20"/>
                <w:lang w:eastAsia="en-AU" w:bidi="ar-SA"/>
              </w:rPr>
            </w:pPr>
          </w:p>
        </w:tc>
        <w:tc>
          <w:tcPr>
            <w:tcW w:w="2126" w:type="dxa"/>
          </w:tcPr>
          <w:p w14:paraId="5DC630CC" w14:textId="77777777" w:rsidR="00023102" w:rsidRPr="00584AF3" w:rsidRDefault="00023102" w:rsidP="003D609A">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Pr>
          <w:p w14:paraId="174ADC07"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2DE7AAD2" w14:textId="77777777" w:rsidR="00023102" w:rsidRPr="00584AF3" w:rsidRDefault="00023102" w:rsidP="003D609A">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bl>
    <w:p w14:paraId="770EAF8C" w14:textId="77777777" w:rsidR="00023102" w:rsidRPr="00584AF3" w:rsidRDefault="00023102" w:rsidP="00023102">
      <w:pPr>
        <w:tabs>
          <w:tab w:val="left" w:pos="851"/>
        </w:tabs>
        <w:jc w:val="right"/>
        <w:rPr>
          <w:iCs/>
          <w:sz w:val="20"/>
          <w:szCs w:val="20"/>
        </w:rPr>
      </w:pPr>
      <w:r w:rsidRPr="00584AF3">
        <w:rPr>
          <w:iCs/>
          <w:sz w:val="20"/>
          <w:szCs w:val="20"/>
        </w:rPr>
        <w:t>”</w:t>
      </w:r>
    </w:p>
    <w:p w14:paraId="09717C75" w14:textId="77777777" w:rsidR="00023102" w:rsidRPr="00584AF3" w:rsidRDefault="00023102" w:rsidP="00023102">
      <w:pPr>
        <w:tabs>
          <w:tab w:val="left" w:pos="851"/>
        </w:tabs>
        <w:rPr>
          <w:iCs/>
          <w:sz w:val="20"/>
          <w:szCs w:val="20"/>
        </w:rPr>
      </w:pPr>
    </w:p>
    <w:p w14:paraId="61C04BE0" w14:textId="77777777" w:rsidR="00023102" w:rsidRPr="00584AF3" w:rsidRDefault="00023102" w:rsidP="00023102">
      <w:pPr>
        <w:tabs>
          <w:tab w:val="left" w:pos="851"/>
        </w:tabs>
        <w:rPr>
          <w:iCs/>
          <w:sz w:val="20"/>
          <w:szCs w:val="20"/>
        </w:rPr>
      </w:pPr>
      <w:r w:rsidRPr="00584AF3">
        <w:rPr>
          <w:iCs/>
          <w:sz w:val="20"/>
          <w:szCs w:val="20"/>
        </w:rPr>
        <w:t>[2.6]</w:t>
      </w:r>
      <w:r w:rsidRPr="00584AF3">
        <w:rPr>
          <w:iCs/>
          <w:sz w:val="20"/>
          <w:szCs w:val="20"/>
        </w:rPr>
        <w:tab/>
        <w:t xml:space="preserve">omitting “the content of energy and each nutrient” from subitems 2(1) and 3(1) </w:t>
      </w:r>
      <w:r w:rsidRPr="00584AF3">
        <w:rPr>
          <w:sz w:val="20"/>
          <w:szCs w:val="20"/>
        </w:rPr>
        <w:t>of Schedule 5</w:t>
      </w:r>
      <w:r>
        <w:rPr>
          <w:sz w:val="20"/>
          <w:szCs w:val="20"/>
        </w:rPr>
        <w:t xml:space="preserve"> and</w:t>
      </w:r>
      <w:r w:rsidRPr="00584AF3">
        <w:rPr>
          <w:sz w:val="20"/>
          <w:szCs w:val="20"/>
        </w:rPr>
        <w:t xml:space="preserve"> </w:t>
      </w:r>
      <w:r w:rsidRPr="00584AF3">
        <w:rPr>
          <w:iCs/>
          <w:sz w:val="20"/>
          <w:szCs w:val="20"/>
        </w:rPr>
        <w:t>substituting “the average energy content and the average quantity of each nutrient listed in that Table that is”</w:t>
      </w:r>
    </w:p>
    <w:p w14:paraId="292BB322" w14:textId="77777777" w:rsidR="00023102" w:rsidRPr="00584AF3" w:rsidRDefault="00023102" w:rsidP="00023102">
      <w:pPr>
        <w:tabs>
          <w:tab w:val="left" w:pos="851"/>
        </w:tabs>
        <w:rPr>
          <w:iCs/>
          <w:sz w:val="20"/>
          <w:szCs w:val="20"/>
        </w:rPr>
      </w:pPr>
    </w:p>
    <w:p w14:paraId="0C83E244" w14:textId="77777777" w:rsidR="00023102" w:rsidRPr="00584AF3" w:rsidRDefault="00023102" w:rsidP="00023102">
      <w:pPr>
        <w:tabs>
          <w:tab w:val="left" w:pos="851"/>
        </w:tabs>
        <w:rPr>
          <w:iCs/>
          <w:sz w:val="20"/>
          <w:szCs w:val="20"/>
        </w:rPr>
      </w:pPr>
      <w:r w:rsidRPr="00584AF3">
        <w:rPr>
          <w:iCs/>
          <w:sz w:val="20"/>
          <w:szCs w:val="20"/>
        </w:rPr>
        <w:t xml:space="preserve">[2.7] </w:t>
      </w:r>
      <w:r w:rsidRPr="00584AF3">
        <w:rPr>
          <w:iCs/>
          <w:sz w:val="20"/>
          <w:szCs w:val="20"/>
        </w:rPr>
        <w:tab/>
        <w:t xml:space="preserve">omitting “sources” from paragraph 4(6)(c) </w:t>
      </w:r>
      <w:r w:rsidRPr="00584AF3">
        <w:rPr>
          <w:sz w:val="20"/>
          <w:szCs w:val="20"/>
        </w:rPr>
        <w:t>of Schedule 5</w:t>
      </w:r>
    </w:p>
    <w:p w14:paraId="3A8C060C" w14:textId="77777777" w:rsidR="00023102" w:rsidRPr="00584AF3" w:rsidRDefault="00023102" w:rsidP="00023102">
      <w:pPr>
        <w:tabs>
          <w:tab w:val="left" w:pos="851"/>
        </w:tabs>
        <w:rPr>
          <w:iCs/>
          <w:sz w:val="20"/>
          <w:szCs w:val="20"/>
        </w:rPr>
      </w:pPr>
    </w:p>
    <w:p w14:paraId="28D0CECE" w14:textId="77777777" w:rsidR="00023102" w:rsidRPr="00584AF3" w:rsidRDefault="00023102" w:rsidP="00023102">
      <w:pPr>
        <w:tabs>
          <w:tab w:val="left" w:pos="851"/>
        </w:tabs>
        <w:rPr>
          <w:iCs/>
          <w:sz w:val="20"/>
          <w:szCs w:val="20"/>
        </w:rPr>
      </w:pPr>
      <w:r w:rsidRPr="00584AF3">
        <w:rPr>
          <w:iCs/>
          <w:sz w:val="20"/>
          <w:szCs w:val="20"/>
        </w:rPr>
        <w:t xml:space="preserve">[2.8] </w:t>
      </w:r>
      <w:r w:rsidRPr="00584AF3">
        <w:rPr>
          <w:iCs/>
          <w:sz w:val="20"/>
          <w:szCs w:val="20"/>
        </w:rPr>
        <w:tab/>
        <w:t xml:space="preserve">omitting “sources” from subitem 4(8) </w:t>
      </w:r>
      <w:r w:rsidRPr="00584AF3">
        <w:rPr>
          <w:sz w:val="20"/>
          <w:szCs w:val="20"/>
        </w:rPr>
        <w:t xml:space="preserve">of Schedule 5 </w:t>
      </w:r>
    </w:p>
    <w:p w14:paraId="6D9A8382" w14:textId="77777777" w:rsidR="00023102" w:rsidRPr="00584AF3" w:rsidRDefault="00023102" w:rsidP="00023102">
      <w:pPr>
        <w:tabs>
          <w:tab w:val="left" w:pos="851"/>
        </w:tabs>
        <w:rPr>
          <w:iCs/>
          <w:sz w:val="20"/>
          <w:szCs w:val="20"/>
        </w:rPr>
      </w:pPr>
    </w:p>
    <w:p w14:paraId="5BB407CA" w14:textId="77777777" w:rsidR="00023102" w:rsidRPr="00584AF3" w:rsidRDefault="00023102" w:rsidP="00023102">
      <w:pPr>
        <w:tabs>
          <w:tab w:val="left" w:pos="851"/>
        </w:tabs>
        <w:rPr>
          <w:iCs/>
          <w:sz w:val="20"/>
          <w:szCs w:val="20"/>
        </w:rPr>
      </w:pPr>
      <w:r w:rsidRPr="00584AF3">
        <w:rPr>
          <w:iCs/>
          <w:sz w:val="20"/>
          <w:szCs w:val="20"/>
        </w:rPr>
        <w:t xml:space="preserve">[2.9] </w:t>
      </w:r>
      <w:r w:rsidRPr="00584AF3">
        <w:rPr>
          <w:iCs/>
          <w:sz w:val="20"/>
          <w:szCs w:val="20"/>
        </w:rPr>
        <w:tab/>
        <w:t xml:space="preserve">omitting “total” wherever appearing in Tables 1 and 2 </w:t>
      </w:r>
      <w:r w:rsidRPr="00584AF3">
        <w:rPr>
          <w:sz w:val="20"/>
          <w:szCs w:val="20"/>
        </w:rPr>
        <w:t>of Schedule 5</w:t>
      </w:r>
    </w:p>
    <w:p w14:paraId="249BAA13" w14:textId="77777777" w:rsidR="00023102" w:rsidRPr="00584AF3" w:rsidRDefault="00023102" w:rsidP="00023102">
      <w:pPr>
        <w:tabs>
          <w:tab w:val="left" w:pos="851"/>
        </w:tabs>
        <w:rPr>
          <w:iCs/>
          <w:sz w:val="20"/>
          <w:szCs w:val="20"/>
        </w:rPr>
      </w:pPr>
    </w:p>
    <w:p w14:paraId="02D85EA4" w14:textId="77777777" w:rsidR="00023102" w:rsidRPr="00584AF3" w:rsidRDefault="00023102" w:rsidP="00023102">
      <w:pPr>
        <w:tabs>
          <w:tab w:val="left" w:pos="851"/>
        </w:tabs>
        <w:rPr>
          <w:iCs/>
          <w:sz w:val="20"/>
          <w:szCs w:val="20"/>
        </w:rPr>
      </w:pPr>
      <w:r w:rsidRPr="00584AF3">
        <w:rPr>
          <w:iCs/>
          <w:sz w:val="20"/>
          <w:szCs w:val="20"/>
        </w:rPr>
        <w:t xml:space="preserve">[2.10] </w:t>
      </w:r>
      <w:r w:rsidRPr="00584AF3">
        <w:rPr>
          <w:iCs/>
          <w:sz w:val="20"/>
          <w:szCs w:val="20"/>
        </w:rPr>
        <w:tab/>
        <w:t xml:space="preserve">omitting “Average saturated fatty acids” wherever appearing in Tables 1 and 2 </w:t>
      </w:r>
      <w:r w:rsidRPr="00584AF3">
        <w:rPr>
          <w:sz w:val="20"/>
          <w:szCs w:val="20"/>
        </w:rPr>
        <w:t>of Schedule 5</w:t>
      </w:r>
      <w:r>
        <w:rPr>
          <w:iCs/>
          <w:sz w:val="20"/>
          <w:szCs w:val="20"/>
        </w:rPr>
        <w:t xml:space="preserve"> and</w:t>
      </w:r>
      <w:r w:rsidRPr="00584AF3">
        <w:rPr>
          <w:iCs/>
          <w:sz w:val="20"/>
          <w:szCs w:val="20"/>
        </w:rPr>
        <w:t xml:space="preserve"> substituting “Average quantity of saturated fatty acids”</w:t>
      </w:r>
    </w:p>
    <w:p w14:paraId="41B374D9" w14:textId="77777777" w:rsidR="00023102" w:rsidRPr="00584AF3" w:rsidRDefault="00023102" w:rsidP="00023102">
      <w:pPr>
        <w:tabs>
          <w:tab w:val="left" w:pos="851"/>
        </w:tabs>
        <w:rPr>
          <w:iCs/>
          <w:sz w:val="20"/>
          <w:szCs w:val="20"/>
        </w:rPr>
      </w:pPr>
    </w:p>
    <w:p w14:paraId="1C967650" w14:textId="77777777" w:rsidR="00023102" w:rsidRPr="00584AF3" w:rsidRDefault="00023102" w:rsidP="00023102">
      <w:pPr>
        <w:tabs>
          <w:tab w:val="left" w:pos="851"/>
        </w:tabs>
        <w:rPr>
          <w:iCs/>
          <w:sz w:val="20"/>
          <w:szCs w:val="20"/>
        </w:rPr>
      </w:pPr>
      <w:r w:rsidRPr="00584AF3">
        <w:rPr>
          <w:iCs/>
          <w:sz w:val="20"/>
          <w:szCs w:val="20"/>
        </w:rPr>
        <w:t>[2.11]</w:t>
      </w:r>
      <w:r w:rsidRPr="00584AF3">
        <w:rPr>
          <w:iCs/>
          <w:sz w:val="20"/>
          <w:szCs w:val="20"/>
        </w:rPr>
        <w:tab/>
        <w:t xml:space="preserve">omitting “Average sodium” wherever appearing in Tables 1 and 2 </w:t>
      </w:r>
      <w:r w:rsidRPr="00584AF3">
        <w:rPr>
          <w:sz w:val="20"/>
          <w:szCs w:val="20"/>
        </w:rPr>
        <w:t>of Schedule 5</w:t>
      </w:r>
      <w:r>
        <w:rPr>
          <w:sz w:val="20"/>
          <w:szCs w:val="20"/>
        </w:rPr>
        <w:t xml:space="preserve"> and</w:t>
      </w:r>
      <w:r w:rsidRPr="00584AF3">
        <w:rPr>
          <w:sz w:val="20"/>
          <w:szCs w:val="20"/>
        </w:rPr>
        <w:t xml:space="preserve"> </w:t>
      </w:r>
      <w:r w:rsidRPr="00584AF3">
        <w:rPr>
          <w:iCs/>
          <w:sz w:val="20"/>
          <w:szCs w:val="20"/>
        </w:rPr>
        <w:t>substituting “Average quantity of sodium”.</w:t>
      </w:r>
    </w:p>
    <w:p w14:paraId="53459E7F" w14:textId="77777777" w:rsidR="00023102" w:rsidRPr="00584AF3" w:rsidRDefault="00023102" w:rsidP="00023102">
      <w:pPr>
        <w:tabs>
          <w:tab w:val="left" w:pos="851"/>
        </w:tabs>
        <w:rPr>
          <w:iCs/>
          <w:sz w:val="20"/>
          <w:szCs w:val="20"/>
        </w:rPr>
      </w:pPr>
    </w:p>
    <w:p w14:paraId="30DE5A42" w14:textId="69B9D7D8" w:rsidR="00023102" w:rsidRPr="00584AF3" w:rsidRDefault="00023102" w:rsidP="00023102">
      <w:pPr>
        <w:tabs>
          <w:tab w:val="left" w:pos="851"/>
        </w:tabs>
        <w:rPr>
          <w:sz w:val="20"/>
          <w:szCs w:val="20"/>
        </w:rPr>
      </w:pPr>
      <w:r w:rsidRPr="00584AF3">
        <w:rPr>
          <w:iCs/>
          <w:sz w:val="20"/>
          <w:szCs w:val="20"/>
        </w:rPr>
        <w:t>[2.12]</w:t>
      </w:r>
      <w:r w:rsidRPr="00584AF3">
        <w:rPr>
          <w:iCs/>
          <w:sz w:val="20"/>
          <w:szCs w:val="20"/>
        </w:rPr>
        <w:tab/>
        <w:t xml:space="preserve"> </w:t>
      </w:r>
      <w:r w:rsidRPr="00584AF3">
        <w:rPr>
          <w:sz w:val="20"/>
          <w:szCs w:val="20"/>
        </w:rPr>
        <w:t>omitting subitem 5(1) of Schedule 5</w:t>
      </w:r>
      <w:r w:rsidR="00136ED8">
        <w:rPr>
          <w:sz w:val="20"/>
          <w:szCs w:val="20"/>
        </w:rPr>
        <w:t xml:space="preserve"> and</w:t>
      </w:r>
      <w:r w:rsidRPr="00584AF3">
        <w:rPr>
          <w:sz w:val="20"/>
          <w:szCs w:val="20"/>
        </w:rPr>
        <w:t xml:space="preserve"> substituting</w:t>
      </w:r>
    </w:p>
    <w:p w14:paraId="5D3973EF" w14:textId="77777777" w:rsidR="00023102" w:rsidRPr="00584AF3" w:rsidRDefault="00023102" w:rsidP="00023102">
      <w:pPr>
        <w:tabs>
          <w:tab w:val="left" w:pos="851"/>
        </w:tabs>
        <w:rPr>
          <w:sz w:val="20"/>
          <w:szCs w:val="20"/>
        </w:rPr>
      </w:pPr>
    </w:p>
    <w:p w14:paraId="00218F7D" w14:textId="77777777" w:rsidR="00023102" w:rsidRPr="00584AF3" w:rsidRDefault="00023102" w:rsidP="00023102">
      <w:pPr>
        <w:tabs>
          <w:tab w:val="left" w:pos="851"/>
        </w:tabs>
        <w:rPr>
          <w:rFonts w:eastAsiaTheme="minorHAnsi"/>
          <w:sz w:val="20"/>
          <w:szCs w:val="20"/>
          <w:lang w:bidi="ar-SA"/>
        </w:rPr>
      </w:pPr>
      <w:r w:rsidRPr="00584AF3">
        <w:rPr>
          <w:sz w:val="20"/>
          <w:szCs w:val="20"/>
          <w:lang w:bidi="ar-SA"/>
        </w:rPr>
        <w:t>“(1)</w:t>
      </w:r>
      <w:r w:rsidRPr="00584AF3">
        <w:rPr>
          <w:sz w:val="20"/>
          <w:szCs w:val="20"/>
          <w:lang w:bidi="ar-SA"/>
        </w:rPr>
        <w:tab/>
      </w:r>
      <w:r w:rsidRPr="00584AF3">
        <w:rPr>
          <w:rFonts w:eastAsiaTheme="minorHAnsi"/>
          <w:sz w:val="20"/>
          <w:szCs w:val="20"/>
          <w:lang w:bidi="ar-SA"/>
        </w:rPr>
        <w:t>Use Table 4 to determine the ‘P points’ scored, depending on the average quantity of protein in 100 g or 100 mL of the food product (based on the units used in the nutrition information panel).  A maximum of five points can be awarded.”</w:t>
      </w:r>
    </w:p>
    <w:p w14:paraId="228A64F6" w14:textId="77777777" w:rsidR="00023102" w:rsidRPr="00584AF3" w:rsidRDefault="00023102" w:rsidP="00023102">
      <w:pPr>
        <w:tabs>
          <w:tab w:val="left" w:pos="851"/>
        </w:tabs>
        <w:rPr>
          <w:rFonts w:eastAsiaTheme="minorHAnsi"/>
          <w:sz w:val="20"/>
          <w:szCs w:val="20"/>
          <w:lang w:bidi="ar-SA"/>
        </w:rPr>
      </w:pPr>
    </w:p>
    <w:p w14:paraId="324FEDD6" w14:textId="77777777" w:rsidR="00023102" w:rsidRPr="00584AF3" w:rsidRDefault="00023102" w:rsidP="00023102">
      <w:pPr>
        <w:tabs>
          <w:tab w:val="left" w:pos="851"/>
        </w:tabs>
        <w:rPr>
          <w:sz w:val="20"/>
          <w:szCs w:val="20"/>
        </w:rPr>
      </w:pPr>
      <w:r w:rsidRPr="00584AF3">
        <w:rPr>
          <w:iCs/>
          <w:sz w:val="20"/>
          <w:szCs w:val="20"/>
        </w:rPr>
        <w:t>[2.13]</w:t>
      </w:r>
      <w:r w:rsidRPr="00584AF3">
        <w:rPr>
          <w:iCs/>
          <w:sz w:val="20"/>
          <w:szCs w:val="20"/>
        </w:rPr>
        <w:tab/>
      </w:r>
      <w:r w:rsidRPr="00584AF3">
        <w:rPr>
          <w:sz w:val="20"/>
          <w:szCs w:val="20"/>
        </w:rPr>
        <w:t>omitting subitem 6(1) of Schedule 5</w:t>
      </w:r>
      <w:r>
        <w:rPr>
          <w:sz w:val="20"/>
          <w:szCs w:val="20"/>
        </w:rPr>
        <w:t xml:space="preserve"> and</w:t>
      </w:r>
      <w:r w:rsidRPr="00584AF3">
        <w:rPr>
          <w:sz w:val="20"/>
          <w:szCs w:val="20"/>
        </w:rPr>
        <w:t xml:space="preserve"> substituting</w:t>
      </w:r>
    </w:p>
    <w:p w14:paraId="3F640302" w14:textId="77777777" w:rsidR="00023102" w:rsidRDefault="00023102" w:rsidP="00023102">
      <w:pPr>
        <w:tabs>
          <w:tab w:val="left" w:pos="851"/>
        </w:tabs>
        <w:rPr>
          <w:sz w:val="20"/>
          <w:szCs w:val="20"/>
        </w:rPr>
      </w:pPr>
      <w:r>
        <w:rPr>
          <w:sz w:val="20"/>
          <w:szCs w:val="20"/>
        </w:rPr>
        <w:br w:type="page"/>
      </w:r>
    </w:p>
    <w:p w14:paraId="7AD43C83" w14:textId="77777777" w:rsidR="00023102" w:rsidRPr="00584AF3" w:rsidRDefault="00023102" w:rsidP="00023102">
      <w:pPr>
        <w:tabs>
          <w:tab w:val="left" w:pos="851"/>
        </w:tabs>
        <w:rPr>
          <w:rFonts w:eastAsiaTheme="minorHAnsi"/>
          <w:sz w:val="20"/>
          <w:szCs w:val="20"/>
          <w:lang w:bidi="ar-SA"/>
        </w:rPr>
      </w:pPr>
      <w:r w:rsidRPr="00584AF3">
        <w:rPr>
          <w:sz w:val="20"/>
          <w:szCs w:val="20"/>
          <w:lang w:bidi="ar-SA"/>
        </w:rPr>
        <w:lastRenderedPageBreak/>
        <w:t>“(1)</w:t>
      </w:r>
      <w:r w:rsidRPr="00584AF3">
        <w:rPr>
          <w:sz w:val="20"/>
          <w:szCs w:val="20"/>
          <w:lang w:bidi="ar-SA"/>
        </w:rPr>
        <w:tab/>
      </w:r>
      <w:r w:rsidRPr="00584AF3">
        <w:rPr>
          <w:rFonts w:eastAsiaTheme="minorHAnsi"/>
          <w:sz w:val="20"/>
          <w:szCs w:val="20"/>
          <w:lang w:bidi="ar-SA"/>
        </w:rPr>
        <w:t>Use Table 5 to determine the ‘F points’ scored, depending on the average quantity of dietary fibre in 100 g or 100 mL of the food product (based on the units used in the nutrition information panel).  A maximum of five points can be awarded.”</w:t>
      </w:r>
    </w:p>
    <w:p w14:paraId="3B227729" w14:textId="77777777" w:rsidR="00023102" w:rsidRPr="00584AF3" w:rsidRDefault="00023102" w:rsidP="00023102">
      <w:pPr>
        <w:tabs>
          <w:tab w:val="left" w:pos="851"/>
        </w:tabs>
        <w:rPr>
          <w:sz w:val="20"/>
          <w:szCs w:val="20"/>
          <w:lang w:bidi="ar-SA"/>
        </w:rPr>
      </w:pPr>
      <w:r w:rsidRPr="00584AF3">
        <w:rPr>
          <w:rFonts w:eastAsiaTheme="minorHAnsi"/>
          <w:sz w:val="20"/>
          <w:szCs w:val="20"/>
          <w:lang w:bidi="ar-SA"/>
        </w:rPr>
        <w:t xml:space="preserve"> </w:t>
      </w:r>
    </w:p>
    <w:p w14:paraId="34422641" w14:textId="77777777" w:rsidR="00023102" w:rsidRPr="00584AF3" w:rsidRDefault="00023102" w:rsidP="00023102">
      <w:pPr>
        <w:tabs>
          <w:tab w:val="left" w:pos="851"/>
        </w:tabs>
        <w:rPr>
          <w:iCs/>
          <w:sz w:val="20"/>
          <w:szCs w:val="20"/>
        </w:rPr>
      </w:pPr>
      <w:r w:rsidRPr="00584AF3">
        <w:rPr>
          <w:b/>
          <w:bCs/>
          <w:sz w:val="20"/>
          <w:szCs w:val="20"/>
        </w:rPr>
        <w:t>[3]</w:t>
      </w:r>
      <w:r w:rsidRPr="00584AF3">
        <w:rPr>
          <w:sz w:val="20"/>
          <w:szCs w:val="20"/>
        </w:rPr>
        <w:tab/>
      </w:r>
      <w:r w:rsidRPr="00584AF3">
        <w:rPr>
          <w:b/>
          <w:bCs/>
          <w:iCs/>
          <w:sz w:val="20"/>
          <w:szCs w:val="20"/>
        </w:rPr>
        <w:t>Standard 1.2.8</w:t>
      </w:r>
      <w:r>
        <w:rPr>
          <w:iCs/>
          <w:sz w:val="20"/>
          <w:szCs w:val="20"/>
        </w:rPr>
        <w:t xml:space="preserve"> is varied by</w:t>
      </w:r>
    </w:p>
    <w:p w14:paraId="68C25497" w14:textId="77777777" w:rsidR="00023102" w:rsidRPr="00584AF3" w:rsidRDefault="00023102" w:rsidP="00023102">
      <w:pPr>
        <w:tabs>
          <w:tab w:val="left" w:pos="851"/>
        </w:tabs>
        <w:rPr>
          <w:iCs/>
          <w:sz w:val="20"/>
          <w:szCs w:val="20"/>
        </w:rPr>
      </w:pPr>
    </w:p>
    <w:p w14:paraId="023421EA" w14:textId="77777777" w:rsidR="00023102" w:rsidRPr="00584AF3" w:rsidRDefault="00023102" w:rsidP="00023102">
      <w:pPr>
        <w:tabs>
          <w:tab w:val="left" w:pos="851"/>
        </w:tabs>
        <w:rPr>
          <w:iCs/>
          <w:sz w:val="20"/>
          <w:szCs w:val="20"/>
        </w:rPr>
      </w:pPr>
      <w:r w:rsidRPr="00584AF3">
        <w:rPr>
          <w:iCs/>
          <w:sz w:val="20"/>
          <w:szCs w:val="20"/>
        </w:rPr>
        <w:t>[3.1]</w:t>
      </w:r>
      <w:r w:rsidRPr="00584AF3">
        <w:rPr>
          <w:iCs/>
          <w:sz w:val="20"/>
          <w:szCs w:val="20"/>
        </w:rPr>
        <w:tab/>
        <w:t>omitting paragraph 4(1)(d)</w:t>
      </w:r>
      <w:r>
        <w:rPr>
          <w:iCs/>
          <w:sz w:val="20"/>
          <w:szCs w:val="20"/>
        </w:rPr>
        <w:t xml:space="preserve"> and</w:t>
      </w:r>
      <w:r w:rsidRPr="00584AF3">
        <w:rPr>
          <w:iCs/>
          <w:sz w:val="20"/>
          <w:szCs w:val="20"/>
        </w:rPr>
        <w:t xml:space="preserve"> substituting </w:t>
      </w:r>
    </w:p>
    <w:p w14:paraId="2505C78E" w14:textId="77777777" w:rsidR="00023102" w:rsidRPr="00584AF3" w:rsidRDefault="00023102" w:rsidP="00023102">
      <w:pPr>
        <w:tabs>
          <w:tab w:val="left" w:pos="851"/>
        </w:tabs>
        <w:rPr>
          <w:iCs/>
          <w:sz w:val="20"/>
          <w:szCs w:val="20"/>
        </w:rPr>
      </w:pPr>
    </w:p>
    <w:p w14:paraId="69C5593E" w14:textId="77777777" w:rsidR="00023102" w:rsidRPr="00584AF3" w:rsidRDefault="00023102" w:rsidP="00023102">
      <w:pPr>
        <w:pStyle w:val="Paragraph"/>
        <w:rPr>
          <w:rFonts w:eastAsiaTheme="minorHAnsi"/>
          <w:lang w:bidi="ar-SA"/>
        </w:rPr>
      </w:pPr>
      <w:r w:rsidRPr="00584AF3">
        <w:rPr>
          <w:rFonts w:eastAsiaTheme="minorHAnsi"/>
          <w:lang w:bidi="ar-SA"/>
        </w:rPr>
        <w:t>“(d)</w:t>
      </w:r>
      <w:r w:rsidRPr="00584AF3">
        <w:rPr>
          <w:rFonts w:eastAsiaTheme="minorHAnsi"/>
          <w:lang w:bidi="ar-SA"/>
        </w:rPr>
        <w:tab/>
        <w:t>an endorsement; or</w:t>
      </w:r>
    </w:p>
    <w:p w14:paraId="52FD9B61" w14:textId="77777777" w:rsidR="00023102" w:rsidRPr="00584AF3" w:rsidRDefault="00023102" w:rsidP="00023102">
      <w:pPr>
        <w:pStyle w:val="Paragraph"/>
        <w:rPr>
          <w:rFonts w:eastAsiaTheme="minorHAnsi"/>
          <w:lang w:bidi="ar-SA"/>
        </w:rPr>
      </w:pPr>
      <w:r w:rsidRPr="00584AF3">
        <w:rPr>
          <w:rFonts w:eastAsiaTheme="minorHAnsi"/>
          <w:lang w:bidi="ar-SA"/>
        </w:rPr>
        <w:t>(e)</w:t>
      </w:r>
      <w:r w:rsidRPr="00584AF3">
        <w:rPr>
          <w:rFonts w:eastAsiaTheme="minorHAnsi"/>
          <w:lang w:bidi="ar-SA"/>
        </w:rPr>
        <w:tab/>
        <w:t>a permitted Health Star Rating symbol.”</w:t>
      </w:r>
    </w:p>
    <w:p w14:paraId="663EBBBE" w14:textId="77777777" w:rsidR="00023102" w:rsidRPr="00584AF3" w:rsidRDefault="00023102" w:rsidP="00023102">
      <w:pPr>
        <w:tabs>
          <w:tab w:val="left" w:pos="851"/>
        </w:tabs>
        <w:rPr>
          <w:iCs/>
          <w:sz w:val="20"/>
          <w:szCs w:val="20"/>
        </w:rPr>
      </w:pPr>
      <w:r w:rsidRPr="00584AF3">
        <w:rPr>
          <w:iCs/>
          <w:sz w:val="20"/>
          <w:szCs w:val="20"/>
        </w:rPr>
        <w:t xml:space="preserve"> </w:t>
      </w:r>
    </w:p>
    <w:p w14:paraId="0FB54A42" w14:textId="77777777" w:rsidR="00023102" w:rsidRPr="00584AF3" w:rsidRDefault="00023102" w:rsidP="00023102">
      <w:pPr>
        <w:tabs>
          <w:tab w:val="left" w:pos="851"/>
        </w:tabs>
        <w:rPr>
          <w:iCs/>
          <w:sz w:val="20"/>
          <w:szCs w:val="20"/>
        </w:rPr>
      </w:pPr>
      <w:r w:rsidRPr="00584AF3">
        <w:rPr>
          <w:iCs/>
          <w:sz w:val="20"/>
          <w:szCs w:val="20"/>
        </w:rPr>
        <w:t>[3.2]</w:t>
      </w:r>
      <w:r w:rsidRPr="00584AF3">
        <w:rPr>
          <w:iCs/>
          <w:sz w:val="20"/>
          <w:szCs w:val="20"/>
        </w:rPr>
        <w:tab/>
        <w:t xml:space="preserve">omitting “clause 8” from </w:t>
      </w:r>
      <w:r w:rsidRPr="00584AF3">
        <w:rPr>
          <w:sz w:val="20"/>
          <w:szCs w:val="20"/>
        </w:rPr>
        <w:t>subclause 4(4)</w:t>
      </w:r>
      <w:r>
        <w:rPr>
          <w:sz w:val="20"/>
          <w:szCs w:val="20"/>
        </w:rPr>
        <w:t xml:space="preserve"> and</w:t>
      </w:r>
      <w:r w:rsidRPr="00584AF3">
        <w:rPr>
          <w:sz w:val="20"/>
          <w:szCs w:val="20"/>
        </w:rPr>
        <w:t xml:space="preserve"> substituting “clauses 8 and 8A” </w:t>
      </w:r>
    </w:p>
    <w:p w14:paraId="38EE7E79" w14:textId="77777777" w:rsidR="00023102" w:rsidRPr="00584AF3" w:rsidRDefault="00023102" w:rsidP="00023102">
      <w:pPr>
        <w:rPr>
          <w:sz w:val="20"/>
          <w:szCs w:val="20"/>
        </w:rPr>
      </w:pPr>
    </w:p>
    <w:p w14:paraId="3076C026" w14:textId="77777777" w:rsidR="00023102" w:rsidRPr="00584AF3" w:rsidRDefault="00023102" w:rsidP="00023102">
      <w:pPr>
        <w:tabs>
          <w:tab w:val="left" w:pos="851"/>
        </w:tabs>
        <w:rPr>
          <w:sz w:val="20"/>
          <w:szCs w:val="20"/>
          <w:lang w:bidi="ar-SA"/>
        </w:rPr>
      </w:pPr>
      <w:r w:rsidRPr="00584AF3">
        <w:rPr>
          <w:sz w:val="20"/>
          <w:szCs w:val="20"/>
          <w:lang w:bidi="ar-SA"/>
        </w:rPr>
        <w:t>[3.3]</w:t>
      </w:r>
      <w:r w:rsidRPr="00584AF3">
        <w:rPr>
          <w:sz w:val="20"/>
          <w:szCs w:val="20"/>
          <w:lang w:bidi="ar-SA"/>
        </w:rPr>
        <w:tab/>
        <w:t>omitting “saturated fat” from paragraph 5(1)(e)</w:t>
      </w:r>
      <w:r>
        <w:rPr>
          <w:sz w:val="20"/>
          <w:szCs w:val="20"/>
          <w:lang w:bidi="ar-SA"/>
        </w:rPr>
        <w:t xml:space="preserve"> and</w:t>
      </w:r>
      <w:r w:rsidRPr="00584AF3">
        <w:rPr>
          <w:sz w:val="20"/>
          <w:szCs w:val="20"/>
          <w:lang w:bidi="ar-SA"/>
        </w:rPr>
        <w:t xml:space="preserve"> substituting “saturated fatty acids”.</w:t>
      </w:r>
    </w:p>
    <w:p w14:paraId="56B643A0" w14:textId="77777777" w:rsidR="00023102" w:rsidRPr="00584AF3" w:rsidRDefault="00023102" w:rsidP="00023102">
      <w:pPr>
        <w:tabs>
          <w:tab w:val="left" w:pos="851"/>
        </w:tabs>
        <w:rPr>
          <w:sz w:val="20"/>
          <w:szCs w:val="20"/>
          <w:lang w:bidi="ar-SA"/>
        </w:rPr>
      </w:pPr>
    </w:p>
    <w:p w14:paraId="294D3874" w14:textId="77777777" w:rsidR="00023102" w:rsidRPr="00584AF3" w:rsidRDefault="00023102" w:rsidP="00023102">
      <w:pPr>
        <w:tabs>
          <w:tab w:val="left" w:pos="851"/>
        </w:tabs>
        <w:rPr>
          <w:sz w:val="20"/>
          <w:szCs w:val="20"/>
          <w:lang w:bidi="ar-SA"/>
        </w:rPr>
      </w:pPr>
      <w:r w:rsidRPr="00584AF3">
        <w:rPr>
          <w:sz w:val="20"/>
          <w:szCs w:val="20"/>
          <w:lang w:bidi="ar-SA"/>
        </w:rPr>
        <w:t>[3.4]</w:t>
      </w:r>
      <w:r w:rsidRPr="00584AF3">
        <w:rPr>
          <w:sz w:val="20"/>
          <w:szCs w:val="20"/>
          <w:lang w:bidi="ar-SA"/>
        </w:rPr>
        <w:tab/>
        <w:t>inserting after subclause 5(4)</w:t>
      </w:r>
    </w:p>
    <w:p w14:paraId="127B8020" w14:textId="77777777" w:rsidR="00023102" w:rsidRPr="00584AF3" w:rsidRDefault="00023102" w:rsidP="00023102">
      <w:pPr>
        <w:tabs>
          <w:tab w:val="left" w:pos="851"/>
        </w:tabs>
        <w:rPr>
          <w:sz w:val="20"/>
          <w:szCs w:val="20"/>
          <w:lang w:bidi="ar-SA"/>
        </w:rPr>
      </w:pPr>
    </w:p>
    <w:p w14:paraId="26EF1821" w14:textId="77777777" w:rsidR="00023102" w:rsidRPr="00584AF3" w:rsidRDefault="00023102" w:rsidP="00023102">
      <w:pPr>
        <w:tabs>
          <w:tab w:val="left" w:pos="851"/>
        </w:tabs>
        <w:rPr>
          <w:sz w:val="20"/>
          <w:szCs w:val="20"/>
          <w:lang w:bidi="ar-SA"/>
        </w:rPr>
      </w:pPr>
      <w:r w:rsidRPr="00584AF3">
        <w:rPr>
          <w:sz w:val="20"/>
          <w:szCs w:val="20"/>
          <w:lang w:bidi="ar-SA"/>
        </w:rPr>
        <w:t>“(4A)</w:t>
      </w:r>
      <w:r w:rsidRPr="00584AF3">
        <w:rPr>
          <w:sz w:val="20"/>
          <w:szCs w:val="20"/>
          <w:lang w:bidi="ar-SA"/>
        </w:rPr>
        <w:tab/>
        <w:t>The nutrition information panel must include a declaration of the average quantity of galactose in accordance with subclause (7), where a claim requiring nutrition information is made about or based on lactose.</w:t>
      </w:r>
    </w:p>
    <w:p w14:paraId="3D7D6EEC" w14:textId="77777777" w:rsidR="00023102" w:rsidRPr="00584AF3" w:rsidRDefault="00023102" w:rsidP="00023102">
      <w:pPr>
        <w:tabs>
          <w:tab w:val="left" w:pos="851"/>
        </w:tabs>
        <w:rPr>
          <w:sz w:val="20"/>
          <w:szCs w:val="20"/>
          <w:lang w:bidi="ar-SA"/>
        </w:rPr>
      </w:pPr>
    </w:p>
    <w:p w14:paraId="101531C6" w14:textId="77777777" w:rsidR="00023102" w:rsidRPr="00584AF3" w:rsidRDefault="00023102" w:rsidP="00023102">
      <w:pPr>
        <w:tabs>
          <w:tab w:val="left" w:pos="851"/>
        </w:tabs>
        <w:rPr>
          <w:sz w:val="20"/>
          <w:szCs w:val="20"/>
          <w:lang w:bidi="ar-SA"/>
        </w:rPr>
      </w:pPr>
      <w:r w:rsidRPr="00584AF3">
        <w:rPr>
          <w:sz w:val="20"/>
          <w:szCs w:val="20"/>
          <w:lang w:bidi="ar-SA"/>
        </w:rPr>
        <w:t>(4B)</w:t>
      </w:r>
      <w:r w:rsidRPr="00584AF3">
        <w:rPr>
          <w:sz w:val="20"/>
          <w:szCs w:val="20"/>
          <w:lang w:bidi="ar-SA"/>
        </w:rPr>
        <w:tab/>
        <w:t>The nutrition information panel must include a declaration of the average quantity of potassium in accordance with subclause (7), where a claim requiring nutrition information is made about or based on salt or sodium.</w:t>
      </w:r>
    </w:p>
    <w:p w14:paraId="18232AD6" w14:textId="77777777" w:rsidR="00023102" w:rsidRPr="00584AF3" w:rsidRDefault="00023102" w:rsidP="00023102">
      <w:pPr>
        <w:tabs>
          <w:tab w:val="left" w:pos="851"/>
        </w:tabs>
        <w:rPr>
          <w:sz w:val="20"/>
          <w:szCs w:val="20"/>
          <w:lang w:bidi="ar-SA"/>
        </w:rPr>
      </w:pPr>
    </w:p>
    <w:p w14:paraId="182F062C" w14:textId="77777777" w:rsidR="00023102" w:rsidRPr="00584AF3" w:rsidRDefault="00023102" w:rsidP="00023102">
      <w:pPr>
        <w:tabs>
          <w:tab w:val="left" w:pos="851"/>
        </w:tabs>
        <w:rPr>
          <w:sz w:val="20"/>
          <w:szCs w:val="20"/>
          <w:lang w:bidi="ar-SA"/>
        </w:rPr>
      </w:pPr>
      <w:r w:rsidRPr="00584AF3">
        <w:rPr>
          <w:sz w:val="20"/>
          <w:szCs w:val="20"/>
          <w:lang w:bidi="ar-SA"/>
        </w:rPr>
        <w:t>(4C)</w:t>
      </w:r>
      <w:r w:rsidRPr="00584AF3">
        <w:rPr>
          <w:sz w:val="20"/>
          <w:szCs w:val="20"/>
          <w:lang w:bidi="ar-SA"/>
        </w:rPr>
        <w:tab/>
        <w:t>The nutrition information panel must include a declaration of the following in accordance with subclause (7), where a claim requiring nutrition information is made about or based on omega-3 fatty acids</w:t>
      </w:r>
      <w:r>
        <w:rPr>
          <w:sz w:val="20"/>
          <w:szCs w:val="20"/>
          <w:lang w:bidi="ar-SA"/>
        </w:rPr>
        <w:t xml:space="preserve"> –</w:t>
      </w:r>
    </w:p>
    <w:p w14:paraId="5F0C82D3" w14:textId="77777777" w:rsidR="00023102" w:rsidRPr="00584AF3" w:rsidRDefault="00023102" w:rsidP="00023102">
      <w:pPr>
        <w:ind w:left="1701" w:hanging="850"/>
        <w:rPr>
          <w:sz w:val="20"/>
          <w:szCs w:val="20"/>
          <w:lang w:bidi="ar-SA"/>
        </w:rPr>
      </w:pPr>
    </w:p>
    <w:p w14:paraId="7E03C55F" w14:textId="77777777" w:rsidR="00023102" w:rsidRPr="00584AF3" w:rsidRDefault="00023102" w:rsidP="00023102">
      <w:pPr>
        <w:pStyle w:val="Paragraph"/>
        <w:rPr>
          <w:lang w:bidi="ar-SA"/>
        </w:rPr>
      </w:pPr>
      <w:r>
        <w:rPr>
          <w:lang w:bidi="ar-SA"/>
        </w:rPr>
        <w:t>(a)</w:t>
      </w:r>
      <w:r>
        <w:rPr>
          <w:lang w:bidi="ar-SA"/>
        </w:rPr>
        <w:tab/>
      </w:r>
      <w:r w:rsidRPr="00584AF3">
        <w:rPr>
          <w:lang w:bidi="ar-SA"/>
        </w:rPr>
        <w:t>the average quantity of each type of omega-3 fatty acids (</w:t>
      </w:r>
      <w:r w:rsidRPr="00584AF3">
        <w:rPr>
          <w:rFonts w:eastAsiaTheme="minorHAnsi"/>
          <w:lang w:eastAsia="en-AU" w:bidi="ar-SA"/>
        </w:rPr>
        <w:t>that is, alpha</w:t>
      </w:r>
      <w:r w:rsidRPr="00584AF3">
        <w:rPr>
          <w:rFonts w:eastAsiaTheme="minorHAnsi"/>
          <w:lang w:eastAsia="en-AU" w:bidi="ar-SA"/>
        </w:rPr>
        <w:noBreakHyphen/>
        <w:t xml:space="preserve">linolenic acid, docosahexaenoic acid, eicosapentaenoic acid or a combination of these); </w:t>
      </w:r>
      <w:r w:rsidRPr="00584AF3">
        <w:rPr>
          <w:lang w:bidi="ar-SA"/>
        </w:rPr>
        <w:t>and</w:t>
      </w:r>
    </w:p>
    <w:p w14:paraId="71B7BCDA" w14:textId="77777777" w:rsidR="00023102" w:rsidRPr="00584AF3" w:rsidRDefault="00023102" w:rsidP="00023102">
      <w:pPr>
        <w:pStyle w:val="Paragraph"/>
        <w:rPr>
          <w:lang w:bidi="ar-SA"/>
        </w:rPr>
      </w:pPr>
      <w:r>
        <w:rPr>
          <w:lang w:bidi="ar-SA"/>
        </w:rPr>
        <w:t>(b)</w:t>
      </w:r>
      <w:r>
        <w:rPr>
          <w:lang w:bidi="ar-SA"/>
        </w:rPr>
        <w:tab/>
      </w:r>
      <w:r w:rsidRPr="00584AF3">
        <w:rPr>
          <w:lang w:bidi="ar-SA"/>
        </w:rPr>
        <w:t>the average quantity of the total of omega-3 fatty acids.”</w:t>
      </w:r>
    </w:p>
    <w:p w14:paraId="30D4F440" w14:textId="77777777" w:rsidR="00023102" w:rsidRPr="00584AF3" w:rsidRDefault="00023102" w:rsidP="00023102">
      <w:pPr>
        <w:tabs>
          <w:tab w:val="left" w:pos="851"/>
        </w:tabs>
        <w:rPr>
          <w:sz w:val="20"/>
          <w:szCs w:val="20"/>
          <w:lang w:bidi="ar-SA"/>
        </w:rPr>
      </w:pPr>
    </w:p>
    <w:p w14:paraId="74AB1B3B" w14:textId="11B79A43" w:rsidR="00023102" w:rsidRPr="00584AF3" w:rsidRDefault="00023102" w:rsidP="00023102">
      <w:pPr>
        <w:tabs>
          <w:tab w:val="left" w:pos="851"/>
        </w:tabs>
        <w:rPr>
          <w:sz w:val="20"/>
          <w:szCs w:val="20"/>
          <w:lang w:bidi="ar-SA"/>
        </w:rPr>
      </w:pPr>
      <w:r w:rsidRPr="00584AF3">
        <w:rPr>
          <w:sz w:val="20"/>
          <w:szCs w:val="20"/>
          <w:lang w:bidi="ar-SA"/>
        </w:rPr>
        <w:t>[3.5]</w:t>
      </w:r>
      <w:r w:rsidRPr="00584AF3">
        <w:rPr>
          <w:sz w:val="20"/>
          <w:szCs w:val="20"/>
          <w:lang w:bidi="ar-SA"/>
        </w:rPr>
        <w:tab/>
        <w:t xml:space="preserve">omitting </w:t>
      </w:r>
      <w:r w:rsidRPr="00584AF3">
        <w:rPr>
          <w:iCs/>
          <w:sz w:val="20"/>
          <w:szCs w:val="20"/>
        </w:rPr>
        <w:t xml:space="preserve">“subclause (4) and subclause (5)” from </w:t>
      </w:r>
      <w:r w:rsidRPr="00584AF3">
        <w:rPr>
          <w:sz w:val="20"/>
          <w:szCs w:val="20"/>
        </w:rPr>
        <w:t>subclause 5(7)</w:t>
      </w:r>
      <w:r w:rsidR="00136ED8">
        <w:rPr>
          <w:sz w:val="20"/>
          <w:szCs w:val="20"/>
        </w:rPr>
        <w:t xml:space="preserve"> and </w:t>
      </w:r>
      <w:r w:rsidRPr="00584AF3">
        <w:rPr>
          <w:sz w:val="20"/>
          <w:szCs w:val="20"/>
        </w:rPr>
        <w:t>substituting “subclauses (4), (4A), (4B), (4C) and (5)”</w:t>
      </w:r>
    </w:p>
    <w:p w14:paraId="63409A6C" w14:textId="77777777" w:rsidR="00023102" w:rsidRPr="00584AF3" w:rsidRDefault="00023102" w:rsidP="00023102">
      <w:pPr>
        <w:tabs>
          <w:tab w:val="left" w:pos="851"/>
        </w:tabs>
        <w:rPr>
          <w:sz w:val="20"/>
          <w:szCs w:val="20"/>
          <w:lang w:bidi="ar-SA"/>
        </w:rPr>
      </w:pPr>
      <w:r w:rsidRPr="00584AF3">
        <w:rPr>
          <w:sz w:val="20"/>
          <w:szCs w:val="20"/>
          <w:lang w:bidi="ar-SA"/>
        </w:rPr>
        <w:t xml:space="preserve"> </w:t>
      </w:r>
    </w:p>
    <w:p w14:paraId="407101F8" w14:textId="77777777" w:rsidR="00023102" w:rsidRPr="00584AF3" w:rsidRDefault="00023102" w:rsidP="00023102">
      <w:pPr>
        <w:tabs>
          <w:tab w:val="left" w:pos="851"/>
        </w:tabs>
        <w:rPr>
          <w:sz w:val="20"/>
          <w:szCs w:val="20"/>
          <w:lang w:bidi="ar-SA"/>
        </w:rPr>
      </w:pPr>
      <w:r w:rsidRPr="00584AF3">
        <w:rPr>
          <w:sz w:val="20"/>
          <w:szCs w:val="20"/>
          <w:lang w:bidi="ar-SA"/>
        </w:rPr>
        <w:t>[3.6]</w:t>
      </w:r>
      <w:r w:rsidRPr="00584AF3">
        <w:rPr>
          <w:sz w:val="20"/>
          <w:szCs w:val="20"/>
          <w:lang w:bidi="ar-SA"/>
        </w:rPr>
        <w:tab/>
        <w:t>omitting clause 7B</w:t>
      </w:r>
      <w:r>
        <w:rPr>
          <w:sz w:val="20"/>
          <w:szCs w:val="20"/>
          <w:lang w:bidi="ar-SA"/>
        </w:rPr>
        <w:t xml:space="preserve"> and</w:t>
      </w:r>
      <w:r w:rsidRPr="00584AF3">
        <w:rPr>
          <w:sz w:val="20"/>
          <w:szCs w:val="20"/>
          <w:lang w:bidi="ar-SA"/>
        </w:rPr>
        <w:t xml:space="preserve"> substituting –</w:t>
      </w:r>
    </w:p>
    <w:p w14:paraId="4A654DAD" w14:textId="77777777" w:rsidR="00023102" w:rsidRPr="00584AF3" w:rsidRDefault="00023102" w:rsidP="00023102">
      <w:pPr>
        <w:tabs>
          <w:tab w:val="left" w:pos="851"/>
        </w:tabs>
        <w:rPr>
          <w:sz w:val="20"/>
          <w:szCs w:val="20"/>
          <w:lang w:bidi="ar-SA"/>
        </w:rPr>
      </w:pPr>
    </w:p>
    <w:p w14:paraId="2B61C3BC" w14:textId="77777777" w:rsidR="00023102" w:rsidRPr="00584AF3" w:rsidRDefault="00023102" w:rsidP="00023102">
      <w:pPr>
        <w:tabs>
          <w:tab w:val="left" w:pos="851"/>
        </w:tabs>
        <w:rPr>
          <w:iCs/>
          <w:sz w:val="20"/>
          <w:szCs w:val="20"/>
        </w:rPr>
      </w:pPr>
      <w:r w:rsidRPr="00584AF3">
        <w:rPr>
          <w:szCs w:val="20"/>
          <w:lang w:bidi="ar-SA"/>
        </w:rPr>
        <w:t>“</w:t>
      </w:r>
      <w:r w:rsidRPr="00584AF3">
        <w:rPr>
          <w:b/>
          <w:iCs/>
          <w:sz w:val="20"/>
          <w:szCs w:val="20"/>
        </w:rPr>
        <w:t>7B</w:t>
      </w:r>
      <w:r w:rsidRPr="00584AF3">
        <w:rPr>
          <w:b/>
          <w:iCs/>
          <w:sz w:val="20"/>
          <w:szCs w:val="20"/>
        </w:rPr>
        <w:tab/>
        <w:t>Daily intake information presented outside the panel</w:t>
      </w:r>
    </w:p>
    <w:p w14:paraId="609ECDA0" w14:textId="77777777" w:rsidR="00023102" w:rsidRPr="00584AF3" w:rsidRDefault="00023102" w:rsidP="00023102">
      <w:pPr>
        <w:tabs>
          <w:tab w:val="left" w:pos="851"/>
        </w:tabs>
        <w:rPr>
          <w:sz w:val="20"/>
          <w:szCs w:val="20"/>
          <w:lang w:bidi="ar-SA"/>
        </w:rPr>
      </w:pPr>
      <w:r w:rsidRPr="00584AF3">
        <w:rPr>
          <w:sz w:val="20"/>
          <w:szCs w:val="20"/>
          <w:lang w:bidi="ar-SA"/>
        </w:rPr>
        <w:t xml:space="preserve"> </w:t>
      </w:r>
    </w:p>
    <w:p w14:paraId="47435428" w14:textId="77777777" w:rsidR="00023102" w:rsidRDefault="00023102" w:rsidP="00023102">
      <w:pPr>
        <w:tabs>
          <w:tab w:val="left" w:pos="851"/>
        </w:tabs>
        <w:rPr>
          <w:sz w:val="20"/>
          <w:szCs w:val="20"/>
          <w:lang w:bidi="ar-SA"/>
        </w:rPr>
      </w:pPr>
      <w:r w:rsidRPr="00584AF3">
        <w:rPr>
          <w:sz w:val="20"/>
          <w:szCs w:val="20"/>
          <w:lang w:bidi="ar-SA"/>
        </w:rPr>
        <w:t>(1)</w:t>
      </w:r>
      <w:r w:rsidRPr="00584AF3">
        <w:rPr>
          <w:sz w:val="20"/>
          <w:szCs w:val="20"/>
          <w:lang w:bidi="ar-SA"/>
        </w:rPr>
        <w:tab/>
        <w:t>If a nutrition information panel includes the percentage daily intake of dietary fibre per serving in accordance with paragraph 7(2)(a), the following information may also be presented outside the panel</w:t>
      </w:r>
      <w:r>
        <w:rPr>
          <w:sz w:val="20"/>
          <w:szCs w:val="20"/>
          <w:lang w:bidi="ar-SA"/>
        </w:rPr>
        <w:t xml:space="preserve"> –</w:t>
      </w:r>
    </w:p>
    <w:p w14:paraId="7D0064FC" w14:textId="77777777" w:rsidR="00023102" w:rsidRPr="00584AF3" w:rsidRDefault="00023102" w:rsidP="00023102">
      <w:pPr>
        <w:tabs>
          <w:tab w:val="left" w:pos="851"/>
        </w:tabs>
        <w:rPr>
          <w:sz w:val="20"/>
          <w:szCs w:val="20"/>
          <w:lang w:bidi="ar-SA"/>
        </w:rPr>
      </w:pPr>
    </w:p>
    <w:p w14:paraId="132F0B50" w14:textId="77777777" w:rsidR="00023102" w:rsidRPr="00584AF3" w:rsidRDefault="00023102" w:rsidP="002F070F">
      <w:pPr>
        <w:numPr>
          <w:ilvl w:val="0"/>
          <w:numId w:val="8"/>
        </w:numPr>
        <w:tabs>
          <w:tab w:val="left" w:pos="851"/>
        </w:tabs>
        <w:ind w:left="1701" w:hanging="850"/>
        <w:rPr>
          <w:sz w:val="20"/>
          <w:szCs w:val="20"/>
          <w:lang w:bidi="ar-SA"/>
        </w:rPr>
      </w:pPr>
      <w:r w:rsidRPr="00584AF3">
        <w:rPr>
          <w:sz w:val="20"/>
          <w:szCs w:val="20"/>
          <w:lang w:bidi="ar-SA"/>
        </w:rPr>
        <w:t>the percentage daily intake of energy per serving; or</w:t>
      </w:r>
    </w:p>
    <w:p w14:paraId="0ED1C7F8" w14:textId="77777777" w:rsidR="00023102" w:rsidRPr="00584AF3" w:rsidRDefault="00023102" w:rsidP="002F070F">
      <w:pPr>
        <w:numPr>
          <w:ilvl w:val="0"/>
          <w:numId w:val="8"/>
        </w:numPr>
        <w:tabs>
          <w:tab w:val="left" w:pos="851"/>
        </w:tabs>
        <w:ind w:left="1701" w:hanging="850"/>
        <w:rPr>
          <w:sz w:val="20"/>
          <w:szCs w:val="20"/>
          <w:lang w:bidi="ar-SA"/>
        </w:rPr>
      </w:pPr>
      <w:r w:rsidRPr="00584AF3">
        <w:rPr>
          <w:sz w:val="20"/>
          <w:szCs w:val="20"/>
          <w:lang w:bidi="ar-SA"/>
        </w:rPr>
        <w:t>the percentage daily intake of all of dietary fibre, energy, fat, saturated fatty acids, carbohydrate, sugars, protein and sodium per serving.</w:t>
      </w:r>
    </w:p>
    <w:p w14:paraId="20F128A6" w14:textId="77777777" w:rsidR="00023102" w:rsidRPr="00584AF3" w:rsidRDefault="00023102" w:rsidP="00023102">
      <w:pPr>
        <w:tabs>
          <w:tab w:val="left" w:pos="851"/>
        </w:tabs>
        <w:rPr>
          <w:sz w:val="20"/>
          <w:szCs w:val="20"/>
          <w:lang w:bidi="ar-SA"/>
        </w:rPr>
      </w:pPr>
    </w:p>
    <w:p w14:paraId="5EB11A94" w14:textId="77777777" w:rsidR="00023102" w:rsidRDefault="00023102" w:rsidP="00023102">
      <w:pPr>
        <w:tabs>
          <w:tab w:val="left" w:pos="851"/>
        </w:tabs>
        <w:rPr>
          <w:sz w:val="20"/>
          <w:szCs w:val="20"/>
          <w:lang w:bidi="ar-SA"/>
        </w:rPr>
      </w:pPr>
      <w:r w:rsidRPr="00584AF3">
        <w:rPr>
          <w:sz w:val="20"/>
          <w:szCs w:val="20"/>
          <w:lang w:bidi="ar-SA"/>
        </w:rPr>
        <w:t>(2)</w:t>
      </w:r>
      <w:r w:rsidRPr="00584AF3">
        <w:rPr>
          <w:sz w:val="20"/>
          <w:szCs w:val="20"/>
          <w:lang w:bidi="ar-SA"/>
        </w:rPr>
        <w:tab/>
        <w:t>If a nutrition information panel includes the percentage daily intake information required by paragraph 7(2)(b), the following information may also be presented outside the panel</w:t>
      </w:r>
      <w:r>
        <w:rPr>
          <w:sz w:val="20"/>
          <w:szCs w:val="20"/>
          <w:lang w:bidi="ar-SA"/>
        </w:rPr>
        <w:t xml:space="preserve"> –</w:t>
      </w:r>
    </w:p>
    <w:p w14:paraId="4B559B66" w14:textId="77777777" w:rsidR="00023102" w:rsidRPr="00584AF3" w:rsidRDefault="00023102" w:rsidP="00023102">
      <w:pPr>
        <w:tabs>
          <w:tab w:val="left" w:pos="851"/>
        </w:tabs>
        <w:rPr>
          <w:sz w:val="20"/>
          <w:szCs w:val="20"/>
          <w:lang w:bidi="ar-SA"/>
        </w:rPr>
      </w:pPr>
    </w:p>
    <w:p w14:paraId="2E3766A8" w14:textId="77777777" w:rsidR="00023102" w:rsidRPr="00584AF3" w:rsidRDefault="00023102" w:rsidP="00023102">
      <w:pPr>
        <w:pStyle w:val="Paragraph"/>
        <w:rPr>
          <w:lang w:bidi="ar-SA"/>
        </w:rPr>
      </w:pPr>
      <w:r>
        <w:rPr>
          <w:lang w:bidi="ar-SA"/>
        </w:rPr>
        <w:t>(a)</w:t>
      </w:r>
      <w:r w:rsidRPr="00584AF3">
        <w:rPr>
          <w:lang w:bidi="ar-SA"/>
        </w:rPr>
        <w:tab/>
        <w:t>the percentage daily intake of energy per serving; or</w:t>
      </w:r>
    </w:p>
    <w:p w14:paraId="1E6A0344" w14:textId="77777777" w:rsidR="00023102" w:rsidRPr="00584AF3" w:rsidRDefault="00023102" w:rsidP="00023102">
      <w:pPr>
        <w:pStyle w:val="Paragraph"/>
        <w:rPr>
          <w:lang w:bidi="ar-SA"/>
        </w:rPr>
      </w:pPr>
      <w:r>
        <w:rPr>
          <w:lang w:bidi="ar-SA"/>
        </w:rPr>
        <w:t>(b)</w:t>
      </w:r>
      <w:r>
        <w:rPr>
          <w:lang w:bidi="ar-SA"/>
        </w:rPr>
        <w:tab/>
      </w:r>
      <w:r w:rsidRPr="00584AF3">
        <w:rPr>
          <w:lang w:bidi="ar-SA"/>
        </w:rPr>
        <w:t>the percentage daily intake of all of energy, fat, saturated fatty acids, carbohydrate, sugars, protein and sodium per serving.</w:t>
      </w:r>
    </w:p>
    <w:p w14:paraId="640BFF13" w14:textId="77777777" w:rsidR="00023102" w:rsidRPr="00584AF3" w:rsidRDefault="00023102" w:rsidP="00023102">
      <w:pPr>
        <w:tabs>
          <w:tab w:val="left" w:pos="851"/>
        </w:tabs>
        <w:rPr>
          <w:sz w:val="20"/>
          <w:szCs w:val="20"/>
          <w:lang w:bidi="ar-SA"/>
        </w:rPr>
      </w:pPr>
    </w:p>
    <w:p w14:paraId="3B455EA9" w14:textId="77777777" w:rsidR="00023102" w:rsidRPr="00584AF3" w:rsidRDefault="00023102" w:rsidP="00023102">
      <w:pPr>
        <w:tabs>
          <w:tab w:val="left" w:pos="851"/>
        </w:tabs>
        <w:rPr>
          <w:sz w:val="20"/>
          <w:szCs w:val="20"/>
          <w:lang w:bidi="ar-SA"/>
        </w:rPr>
      </w:pPr>
      <w:r w:rsidRPr="00584AF3">
        <w:rPr>
          <w:sz w:val="20"/>
          <w:szCs w:val="20"/>
          <w:lang w:bidi="ar-SA"/>
        </w:rPr>
        <w:t>(3)</w:t>
      </w:r>
      <w:r w:rsidRPr="00584AF3">
        <w:rPr>
          <w:sz w:val="20"/>
          <w:szCs w:val="20"/>
          <w:lang w:bidi="ar-SA"/>
        </w:rPr>
        <w:tab/>
        <w:t>If a nutrition information panel includes the percentage recommended daily intake of a vitamin or mineral in accordance with clause 7A, that information may also be presented outside the panel.</w:t>
      </w:r>
    </w:p>
    <w:p w14:paraId="010F5E0C" w14:textId="77777777" w:rsidR="00023102" w:rsidRDefault="00023102" w:rsidP="00023102">
      <w:pPr>
        <w:tabs>
          <w:tab w:val="left" w:pos="851"/>
        </w:tabs>
        <w:rPr>
          <w:sz w:val="20"/>
          <w:szCs w:val="20"/>
          <w:lang w:bidi="ar-SA"/>
        </w:rPr>
      </w:pPr>
      <w:r>
        <w:rPr>
          <w:sz w:val="20"/>
          <w:szCs w:val="20"/>
          <w:lang w:bidi="ar-SA"/>
        </w:rPr>
        <w:br w:type="page"/>
      </w:r>
    </w:p>
    <w:p w14:paraId="4597A071" w14:textId="77777777" w:rsidR="00023102" w:rsidRPr="00584AF3" w:rsidRDefault="00023102" w:rsidP="00023102">
      <w:pPr>
        <w:tabs>
          <w:tab w:val="left" w:pos="851"/>
        </w:tabs>
        <w:rPr>
          <w:sz w:val="20"/>
          <w:szCs w:val="20"/>
          <w:lang w:bidi="ar-SA"/>
        </w:rPr>
      </w:pPr>
      <w:r w:rsidRPr="00584AF3">
        <w:rPr>
          <w:sz w:val="20"/>
          <w:szCs w:val="20"/>
          <w:lang w:bidi="ar-SA"/>
        </w:rPr>
        <w:lastRenderedPageBreak/>
        <w:t>(4)</w:t>
      </w:r>
      <w:r w:rsidRPr="00584AF3">
        <w:rPr>
          <w:sz w:val="20"/>
          <w:szCs w:val="20"/>
          <w:lang w:bidi="ar-SA"/>
        </w:rPr>
        <w:tab/>
        <w:t>Information may only be presented outside the nutrition information panel in accordance with this clause if –</w:t>
      </w:r>
    </w:p>
    <w:p w14:paraId="64F2DDBA" w14:textId="77777777" w:rsidR="00023102" w:rsidRPr="00584AF3" w:rsidRDefault="00023102" w:rsidP="00023102">
      <w:pPr>
        <w:tabs>
          <w:tab w:val="left" w:pos="851"/>
        </w:tabs>
        <w:rPr>
          <w:sz w:val="20"/>
          <w:szCs w:val="20"/>
          <w:lang w:bidi="ar-SA"/>
        </w:rPr>
      </w:pPr>
    </w:p>
    <w:p w14:paraId="5431033C" w14:textId="77777777" w:rsidR="00023102" w:rsidRPr="00584AF3" w:rsidRDefault="00023102" w:rsidP="00023102">
      <w:pPr>
        <w:ind w:left="1702" w:hanging="851"/>
        <w:rPr>
          <w:sz w:val="20"/>
          <w:szCs w:val="20"/>
          <w:lang w:bidi="ar-SA"/>
        </w:rPr>
      </w:pPr>
      <w:r w:rsidRPr="00584AF3">
        <w:rPr>
          <w:sz w:val="20"/>
          <w:szCs w:val="20"/>
          <w:lang w:bidi="ar-SA"/>
        </w:rPr>
        <w:t>(a)</w:t>
      </w:r>
      <w:r w:rsidRPr="00584AF3">
        <w:rPr>
          <w:sz w:val="20"/>
          <w:szCs w:val="20"/>
          <w:lang w:bidi="ar-SA"/>
        </w:rPr>
        <w:tab/>
        <w:t>the serving size is presented together with that information; and</w:t>
      </w:r>
    </w:p>
    <w:p w14:paraId="7755E664" w14:textId="77777777" w:rsidR="00023102" w:rsidRPr="00584AF3" w:rsidRDefault="00023102" w:rsidP="00023102">
      <w:pPr>
        <w:ind w:left="1702" w:hanging="851"/>
        <w:rPr>
          <w:sz w:val="20"/>
          <w:szCs w:val="20"/>
          <w:lang w:bidi="ar-SA"/>
        </w:rPr>
      </w:pPr>
      <w:r w:rsidRPr="00584AF3">
        <w:rPr>
          <w:sz w:val="20"/>
          <w:szCs w:val="20"/>
          <w:lang w:bidi="ar-SA"/>
        </w:rPr>
        <w:t>(b)</w:t>
      </w:r>
      <w:r w:rsidRPr="00584AF3">
        <w:rPr>
          <w:sz w:val="20"/>
          <w:szCs w:val="20"/>
          <w:lang w:bidi="ar-SA"/>
        </w:rPr>
        <w:tab/>
        <w:t>the food to which that information relates does not contain more than 1.15% alcohol by volume.</w:t>
      </w:r>
      <w:r w:rsidRPr="00584AF3">
        <w:rPr>
          <w:sz w:val="20"/>
          <w:szCs w:val="20"/>
          <w:lang w:bidi="ar-SA"/>
        </w:rPr>
        <w:br/>
      </w:r>
    </w:p>
    <w:p w14:paraId="3574831D" w14:textId="77777777" w:rsidR="00023102" w:rsidRPr="00584AF3" w:rsidRDefault="00023102" w:rsidP="00023102">
      <w:pPr>
        <w:tabs>
          <w:tab w:val="left" w:pos="851"/>
        </w:tabs>
        <w:rPr>
          <w:sz w:val="20"/>
          <w:szCs w:val="20"/>
          <w:lang w:bidi="ar-SA"/>
        </w:rPr>
      </w:pPr>
      <w:r w:rsidRPr="00584AF3">
        <w:rPr>
          <w:sz w:val="20"/>
          <w:szCs w:val="20"/>
          <w:lang w:bidi="ar-SA"/>
        </w:rPr>
        <w:t>(5)</w:t>
      </w:r>
      <w:r w:rsidRPr="00584AF3">
        <w:rPr>
          <w:sz w:val="20"/>
          <w:szCs w:val="20"/>
          <w:lang w:bidi="ar-SA"/>
        </w:rPr>
        <w:tab/>
        <w:t>If more than one piece of information is presented outside the panel in accordance with this clause, those pieces of information must be presented together.</w:t>
      </w:r>
    </w:p>
    <w:p w14:paraId="51D6C1E1" w14:textId="77777777" w:rsidR="00023102" w:rsidRPr="00584AF3" w:rsidRDefault="00023102" w:rsidP="00023102">
      <w:pPr>
        <w:tabs>
          <w:tab w:val="left" w:pos="851"/>
        </w:tabs>
        <w:rPr>
          <w:sz w:val="20"/>
          <w:szCs w:val="20"/>
          <w:lang w:bidi="ar-SA"/>
        </w:rPr>
      </w:pPr>
    </w:p>
    <w:p w14:paraId="36D8C67B" w14:textId="77777777" w:rsidR="00023102" w:rsidRPr="00584AF3" w:rsidRDefault="00023102" w:rsidP="00023102">
      <w:pPr>
        <w:tabs>
          <w:tab w:val="left" w:pos="851"/>
        </w:tabs>
        <w:rPr>
          <w:sz w:val="20"/>
          <w:szCs w:val="20"/>
          <w:lang w:bidi="ar-SA"/>
        </w:rPr>
      </w:pPr>
      <w:r w:rsidRPr="00584AF3">
        <w:rPr>
          <w:sz w:val="20"/>
          <w:szCs w:val="20"/>
          <w:lang w:bidi="ar-SA"/>
        </w:rPr>
        <w:t>(6)</w:t>
      </w:r>
      <w:r w:rsidRPr="00584AF3">
        <w:rPr>
          <w:sz w:val="20"/>
          <w:szCs w:val="20"/>
          <w:lang w:bidi="ar-SA"/>
        </w:rPr>
        <w:tab/>
        <w:t xml:space="preserve">Information presented outside the nutrition information panel in accordance with this clause does not constitute a nutrition content claim.” </w:t>
      </w:r>
    </w:p>
    <w:p w14:paraId="35432C2F" w14:textId="77777777" w:rsidR="00023102" w:rsidRPr="00584AF3" w:rsidRDefault="00023102" w:rsidP="00023102">
      <w:pPr>
        <w:tabs>
          <w:tab w:val="left" w:pos="851"/>
        </w:tabs>
        <w:rPr>
          <w:sz w:val="20"/>
          <w:szCs w:val="20"/>
          <w:lang w:bidi="ar-SA"/>
        </w:rPr>
      </w:pPr>
    </w:p>
    <w:p w14:paraId="6D02D632" w14:textId="77777777" w:rsidR="00023102" w:rsidRPr="00584AF3" w:rsidRDefault="00023102" w:rsidP="00023102">
      <w:pPr>
        <w:tabs>
          <w:tab w:val="left" w:pos="851"/>
        </w:tabs>
        <w:rPr>
          <w:sz w:val="20"/>
          <w:szCs w:val="20"/>
          <w:lang w:bidi="ar-SA"/>
        </w:rPr>
      </w:pPr>
      <w:r w:rsidRPr="00584AF3">
        <w:rPr>
          <w:sz w:val="20"/>
          <w:szCs w:val="20"/>
          <w:lang w:bidi="ar-SA"/>
        </w:rPr>
        <w:t>[3.7]</w:t>
      </w:r>
      <w:r w:rsidRPr="00584AF3">
        <w:rPr>
          <w:sz w:val="20"/>
          <w:szCs w:val="20"/>
          <w:lang w:bidi="ar-SA"/>
        </w:rPr>
        <w:tab/>
        <w:t>omitting the Table to subclause 8(3)</w:t>
      </w:r>
      <w:r>
        <w:rPr>
          <w:sz w:val="20"/>
          <w:szCs w:val="20"/>
          <w:lang w:bidi="ar-SA"/>
        </w:rPr>
        <w:t xml:space="preserve"> and</w:t>
      </w:r>
      <w:r w:rsidRPr="00584AF3">
        <w:rPr>
          <w:sz w:val="20"/>
          <w:szCs w:val="20"/>
          <w:lang w:bidi="ar-SA"/>
        </w:rPr>
        <w:t xml:space="preserve"> substituting</w:t>
      </w:r>
    </w:p>
    <w:p w14:paraId="20E0352D" w14:textId="77777777" w:rsidR="00023102" w:rsidRPr="00584AF3" w:rsidRDefault="00023102" w:rsidP="00023102">
      <w:pPr>
        <w:tabs>
          <w:tab w:val="left" w:pos="851"/>
        </w:tabs>
        <w:rPr>
          <w:sz w:val="20"/>
          <w:szCs w:val="20"/>
          <w:lang w:bidi="ar-SA"/>
        </w:rPr>
      </w:pPr>
    </w:p>
    <w:p w14:paraId="5464C04F" w14:textId="77777777" w:rsidR="00023102" w:rsidRPr="00584AF3" w:rsidRDefault="00023102" w:rsidP="00023102">
      <w:pPr>
        <w:jc w:val="center"/>
        <w:rPr>
          <w:b/>
          <w:sz w:val="20"/>
          <w:szCs w:val="20"/>
          <w:lang w:bidi="ar-SA"/>
        </w:rPr>
      </w:pPr>
      <w:r w:rsidRPr="00584AF3">
        <w:rPr>
          <w:sz w:val="20"/>
          <w:szCs w:val="20"/>
          <w:lang w:bidi="ar-SA"/>
        </w:rPr>
        <w:t>“</w:t>
      </w:r>
      <w:r w:rsidRPr="00584AF3">
        <w:rPr>
          <w:b/>
          <w:sz w:val="20"/>
          <w:szCs w:val="20"/>
          <w:lang w:bidi="ar-SA"/>
        </w:rPr>
        <w:t>Table to subclause 8(3)</w:t>
      </w:r>
    </w:p>
    <w:p w14:paraId="3832830C" w14:textId="77777777" w:rsidR="00023102" w:rsidRPr="00584AF3" w:rsidRDefault="00023102" w:rsidP="00023102">
      <w:pPr>
        <w:tabs>
          <w:tab w:val="left" w:pos="851"/>
        </w:tabs>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023102" w:rsidRPr="00584AF3" w14:paraId="3F74A061" w14:textId="77777777" w:rsidTr="003D609A">
        <w:tc>
          <w:tcPr>
            <w:tcW w:w="4618" w:type="dxa"/>
          </w:tcPr>
          <w:p w14:paraId="04DA2FDD" w14:textId="77777777" w:rsidR="00023102" w:rsidRPr="00584AF3" w:rsidRDefault="00023102" w:rsidP="003D609A">
            <w:pPr>
              <w:spacing w:after="120"/>
              <w:jc w:val="center"/>
              <w:rPr>
                <w:b/>
                <w:bCs/>
                <w:sz w:val="18"/>
                <w:szCs w:val="20"/>
                <w:lang w:bidi="ar-SA"/>
              </w:rPr>
            </w:pPr>
            <w:r w:rsidRPr="00584AF3">
              <w:rPr>
                <w:b/>
                <w:bCs/>
                <w:sz w:val="18"/>
                <w:szCs w:val="20"/>
                <w:lang w:bidi="ar-SA"/>
              </w:rPr>
              <w:t>Column 1</w:t>
            </w:r>
          </w:p>
        </w:tc>
        <w:tc>
          <w:tcPr>
            <w:tcW w:w="4618" w:type="dxa"/>
          </w:tcPr>
          <w:p w14:paraId="416AF638" w14:textId="77777777" w:rsidR="00023102" w:rsidRPr="00584AF3" w:rsidRDefault="00023102" w:rsidP="003D609A">
            <w:pPr>
              <w:spacing w:after="120"/>
              <w:jc w:val="center"/>
              <w:rPr>
                <w:b/>
                <w:bCs/>
                <w:sz w:val="18"/>
                <w:szCs w:val="20"/>
                <w:lang w:bidi="ar-SA"/>
              </w:rPr>
            </w:pPr>
            <w:r w:rsidRPr="00584AF3">
              <w:rPr>
                <w:b/>
                <w:bCs/>
                <w:sz w:val="18"/>
                <w:szCs w:val="20"/>
                <w:lang w:bidi="ar-SA"/>
              </w:rPr>
              <w:t>Column 2</w:t>
            </w:r>
          </w:p>
        </w:tc>
      </w:tr>
      <w:tr w:rsidR="00023102" w:rsidRPr="00584AF3" w14:paraId="54E78BF2" w14:textId="77777777" w:rsidTr="003D609A">
        <w:tc>
          <w:tcPr>
            <w:tcW w:w="4618" w:type="dxa"/>
          </w:tcPr>
          <w:p w14:paraId="78398180" w14:textId="77777777" w:rsidR="00023102" w:rsidRPr="00584AF3" w:rsidRDefault="00023102" w:rsidP="003D609A">
            <w:pPr>
              <w:spacing w:after="120"/>
              <w:jc w:val="center"/>
              <w:rPr>
                <w:b/>
                <w:bCs/>
                <w:sz w:val="18"/>
                <w:szCs w:val="20"/>
                <w:lang w:bidi="ar-SA"/>
              </w:rPr>
            </w:pPr>
            <w:r w:rsidRPr="00584AF3">
              <w:rPr>
                <w:b/>
                <w:bCs/>
                <w:sz w:val="18"/>
                <w:szCs w:val="20"/>
                <w:lang w:bidi="ar-SA"/>
              </w:rPr>
              <w:t>Claim is about</w:t>
            </w:r>
          </w:p>
        </w:tc>
        <w:tc>
          <w:tcPr>
            <w:tcW w:w="4618" w:type="dxa"/>
          </w:tcPr>
          <w:p w14:paraId="512A0AA7" w14:textId="77777777" w:rsidR="00023102" w:rsidRPr="00584AF3" w:rsidRDefault="00023102" w:rsidP="003D609A">
            <w:pPr>
              <w:spacing w:after="120"/>
              <w:jc w:val="center"/>
              <w:rPr>
                <w:b/>
                <w:bCs/>
                <w:sz w:val="18"/>
                <w:szCs w:val="20"/>
                <w:lang w:bidi="ar-SA"/>
              </w:rPr>
            </w:pPr>
            <w:r w:rsidRPr="00584AF3">
              <w:rPr>
                <w:b/>
                <w:bCs/>
                <w:sz w:val="18"/>
                <w:szCs w:val="20"/>
                <w:lang w:bidi="ar-SA"/>
              </w:rPr>
              <w:t>Label must include</w:t>
            </w:r>
          </w:p>
        </w:tc>
      </w:tr>
      <w:tr w:rsidR="00023102" w:rsidRPr="00584AF3" w14:paraId="255DD1B1" w14:textId="77777777" w:rsidTr="003D609A">
        <w:tc>
          <w:tcPr>
            <w:tcW w:w="4618" w:type="dxa"/>
          </w:tcPr>
          <w:p w14:paraId="51F0B69A" w14:textId="77777777" w:rsidR="00023102" w:rsidRPr="00584AF3" w:rsidRDefault="00023102" w:rsidP="003D609A">
            <w:pPr>
              <w:ind w:left="142" w:hanging="142"/>
              <w:rPr>
                <w:bCs/>
                <w:sz w:val="18"/>
                <w:szCs w:val="20"/>
                <w:lang w:bidi="ar-SA"/>
              </w:rPr>
            </w:pPr>
            <w:r w:rsidRPr="00584AF3">
              <w:rPr>
                <w:bCs/>
                <w:sz w:val="18"/>
                <w:szCs w:val="20"/>
                <w:lang w:bidi="ar-SA"/>
              </w:rPr>
              <w:t>Any nutrient or biologically active substance (other than a vitamin or mineral with a RDI)</w:t>
            </w:r>
          </w:p>
        </w:tc>
        <w:tc>
          <w:tcPr>
            <w:tcW w:w="4618" w:type="dxa"/>
          </w:tcPr>
          <w:p w14:paraId="1A9A1D2C" w14:textId="77777777" w:rsidR="00023102" w:rsidRPr="00584AF3" w:rsidRDefault="00023102" w:rsidP="003D609A">
            <w:pPr>
              <w:ind w:left="142" w:hanging="142"/>
              <w:rPr>
                <w:bCs/>
                <w:sz w:val="18"/>
                <w:szCs w:val="20"/>
                <w:lang w:bidi="ar-SA"/>
              </w:rPr>
            </w:pPr>
            <w:r w:rsidRPr="00584AF3">
              <w:rPr>
                <w:bCs/>
                <w:sz w:val="18"/>
                <w:szCs w:val="20"/>
                <w:lang w:bidi="ar-SA"/>
              </w:rPr>
              <w:t>Average quantity of the nutrient or biologically active substance present per serving of the food</w:t>
            </w:r>
          </w:p>
        </w:tc>
      </w:tr>
      <w:tr w:rsidR="00023102" w:rsidRPr="00584AF3" w14:paraId="46EB1C61" w14:textId="77777777" w:rsidTr="003D609A">
        <w:tc>
          <w:tcPr>
            <w:tcW w:w="4618" w:type="dxa"/>
          </w:tcPr>
          <w:p w14:paraId="1B422954" w14:textId="77777777" w:rsidR="00023102" w:rsidRPr="00584AF3" w:rsidRDefault="00023102" w:rsidP="003D609A">
            <w:pPr>
              <w:ind w:left="142" w:hanging="142"/>
              <w:rPr>
                <w:bCs/>
                <w:sz w:val="18"/>
                <w:szCs w:val="20"/>
                <w:lang w:bidi="ar-SA"/>
              </w:rPr>
            </w:pPr>
            <w:r w:rsidRPr="00584AF3">
              <w:rPr>
                <w:bCs/>
                <w:sz w:val="18"/>
                <w:szCs w:val="20"/>
                <w:lang w:bidi="ar-SA"/>
              </w:rPr>
              <w:t>Any vitamin or mineral with a RDI</w:t>
            </w:r>
          </w:p>
        </w:tc>
        <w:tc>
          <w:tcPr>
            <w:tcW w:w="4618" w:type="dxa"/>
          </w:tcPr>
          <w:p w14:paraId="54382D91" w14:textId="77777777" w:rsidR="00023102" w:rsidRPr="00584AF3" w:rsidRDefault="00023102" w:rsidP="003D609A">
            <w:pPr>
              <w:ind w:left="284" w:hanging="284"/>
              <w:rPr>
                <w:bCs/>
                <w:sz w:val="18"/>
                <w:szCs w:val="20"/>
                <w:lang w:bidi="ar-SA"/>
              </w:rPr>
            </w:pPr>
            <w:r w:rsidRPr="00584AF3">
              <w:rPr>
                <w:bCs/>
                <w:sz w:val="18"/>
                <w:szCs w:val="20"/>
                <w:lang w:bidi="ar-SA"/>
              </w:rPr>
              <w:t xml:space="preserve">(a) </w:t>
            </w:r>
            <w:r w:rsidRPr="00584AF3">
              <w:rPr>
                <w:bCs/>
                <w:sz w:val="18"/>
                <w:szCs w:val="20"/>
                <w:lang w:bidi="ar-SA"/>
              </w:rPr>
              <w:tab/>
              <w:t>Average quantity of the vitamin or mineral present per serving of the food; and</w:t>
            </w:r>
          </w:p>
          <w:p w14:paraId="0A38FA68" w14:textId="77777777" w:rsidR="00023102" w:rsidRPr="00584AF3" w:rsidRDefault="00023102" w:rsidP="003D609A">
            <w:pPr>
              <w:ind w:left="284" w:hanging="284"/>
              <w:rPr>
                <w:bCs/>
                <w:sz w:val="18"/>
                <w:szCs w:val="20"/>
                <w:lang w:bidi="ar-SA"/>
              </w:rPr>
            </w:pPr>
            <w:r w:rsidRPr="00584AF3">
              <w:rPr>
                <w:bCs/>
                <w:sz w:val="18"/>
                <w:szCs w:val="20"/>
                <w:lang w:bidi="ar-SA"/>
              </w:rPr>
              <w:t xml:space="preserve">(b) </w:t>
            </w:r>
            <w:r w:rsidRPr="00584AF3">
              <w:rPr>
                <w:bCs/>
                <w:sz w:val="18"/>
                <w:szCs w:val="20"/>
                <w:lang w:bidi="ar-SA"/>
              </w:rPr>
              <w:tab/>
              <w:t>Percentage of the RDI for the vitamin or mineral contributed by one serving of the food, and calculated in accordance with clause 7A</w:t>
            </w:r>
          </w:p>
        </w:tc>
      </w:tr>
      <w:tr w:rsidR="00023102" w:rsidRPr="00584AF3" w14:paraId="26EF06EF" w14:textId="77777777" w:rsidTr="003D609A">
        <w:tc>
          <w:tcPr>
            <w:tcW w:w="4618" w:type="dxa"/>
          </w:tcPr>
          <w:p w14:paraId="44ACA2B5" w14:textId="77777777" w:rsidR="00023102" w:rsidRPr="00584AF3" w:rsidRDefault="00023102" w:rsidP="003D609A">
            <w:pPr>
              <w:ind w:left="142" w:hanging="142"/>
              <w:rPr>
                <w:bCs/>
                <w:sz w:val="18"/>
                <w:szCs w:val="20"/>
                <w:lang w:bidi="ar-SA"/>
              </w:rPr>
            </w:pPr>
            <w:r w:rsidRPr="00584AF3">
              <w:rPr>
                <w:bCs/>
                <w:sz w:val="18"/>
                <w:szCs w:val="20"/>
                <w:lang w:bidi="ar-SA"/>
              </w:rPr>
              <w:t>Polyunsaturated fatty acids or monounsaturated fatty acids in a food standardised in Standard 2.4.1 or 2.4.2</w:t>
            </w:r>
          </w:p>
        </w:tc>
        <w:tc>
          <w:tcPr>
            <w:tcW w:w="4618" w:type="dxa"/>
          </w:tcPr>
          <w:p w14:paraId="2DEAE20E" w14:textId="77777777" w:rsidR="00023102" w:rsidRPr="00584AF3" w:rsidRDefault="00023102" w:rsidP="003D609A">
            <w:pPr>
              <w:ind w:left="142" w:hanging="142"/>
              <w:rPr>
                <w:bCs/>
                <w:sz w:val="18"/>
                <w:szCs w:val="20"/>
                <w:lang w:bidi="ar-SA"/>
              </w:rPr>
            </w:pPr>
            <w:r w:rsidRPr="00584AF3">
              <w:rPr>
                <w:bCs/>
                <w:sz w:val="18"/>
                <w:szCs w:val="20"/>
                <w:lang w:bidi="ar-SA"/>
              </w:rPr>
              <w:t>Minimum, maximum or average quantity of saturated fatty acids, trans fatty acids, polyunsaturated fatty acids and monounsaturated fatty acids content per serving of the food</w:t>
            </w:r>
          </w:p>
        </w:tc>
      </w:tr>
      <w:tr w:rsidR="00023102" w:rsidRPr="00584AF3" w14:paraId="166F9403" w14:textId="77777777" w:rsidTr="003D609A">
        <w:tc>
          <w:tcPr>
            <w:tcW w:w="4618" w:type="dxa"/>
          </w:tcPr>
          <w:p w14:paraId="3AE9BC1E" w14:textId="77777777" w:rsidR="00023102" w:rsidRPr="00584AF3" w:rsidRDefault="00023102" w:rsidP="003D609A">
            <w:pPr>
              <w:ind w:left="142" w:hanging="142"/>
              <w:rPr>
                <w:bCs/>
                <w:sz w:val="18"/>
                <w:szCs w:val="18"/>
                <w:lang w:bidi="ar-SA"/>
              </w:rPr>
            </w:pPr>
            <w:r w:rsidRPr="00584AF3">
              <w:rPr>
                <w:bCs/>
                <w:sz w:val="18"/>
                <w:szCs w:val="18"/>
                <w:lang w:bidi="ar-SA"/>
              </w:rPr>
              <w:t>Polyunsaturated fatty acids or monounsaturated fatty acids in a food that is not a food standardised in Standard 2.4.1 or 2.4.2</w:t>
            </w:r>
          </w:p>
        </w:tc>
        <w:tc>
          <w:tcPr>
            <w:tcW w:w="4618" w:type="dxa"/>
          </w:tcPr>
          <w:p w14:paraId="33E294B4" w14:textId="77777777" w:rsidR="00023102" w:rsidRPr="00584AF3" w:rsidRDefault="00023102" w:rsidP="003D609A">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023102" w:rsidRPr="00584AF3" w14:paraId="5050CF08" w14:textId="77777777" w:rsidTr="003D609A">
        <w:tc>
          <w:tcPr>
            <w:tcW w:w="4618" w:type="dxa"/>
          </w:tcPr>
          <w:p w14:paraId="518DE9AA" w14:textId="77777777" w:rsidR="00023102" w:rsidRPr="00584AF3" w:rsidRDefault="00023102" w:rsidP="003D609A">
            <w:pPr>
              <w:ind w:left="142" w:hanging="142"/>
              <w:rPr>
                <w:bCs/>
                <w:sz w:val="18"/>
                <w:szCs w:val="20"/>
                <w:lang w:bidi="ar-SA"/>
              </w:rPr>
            </w:pPr>
            <w:r w:rsidRPr="00584AF3">
              <w:rPr>
                <w:bCs/>
                <w:iCs/>
                <w:sz w:val="18"/>
                <w:szCs w:val="18"/>
                <w:lang w:val="en-NZ" w:bidi="ar-SA"/>
              </w:rPr>
              <w:t>Cholesterol, saturated fatty acids, trans fatty acids, omega-6 or omega-9 fatty acids</w:t>
            </w:r>
          </w:p>
        </w:tc>
        <w:tc>
          <w:tcPr>
            <w:tcW w:w="4618" w:type="dxa"/>
          </w:tcPr>
          <w:p w14:paraId="4C4A0FE6" w14:textId="77777777" w:rsidR="00023102" w:rsidRPr="00584AF3" w:rsidRDefault="00023102" w:rsidP="003D609A">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023102" w:rsidRPr="00584AF3" w14:paraId="70C3765D" w14:textId="77777777" w:rsidTr="003D609A">
        <w:tc>
          <w:tcPr>
            <w:tcW w:w="4618" w:type="dxa"/>
          </w:tcPr>
          <w:p w14:paraId="47235600" w14:textId="77777777" w:rsidR="00023102" w:rsidRPr="00584AF3" w:rsidRDefault="00023102" w:rsidP="003D609A">
            <w:pPr>
              <w:ind w:left="142" w:hanging="142"/>
              <w:rPr>
                <w:bCs/>
                <w:sz w:val="18"/>
                <w:szCs w:val="20"/>
                <w:lang w:bidi="ar-SA"/>
              </w:rPr>
            </w:pPr>
            <w:r w:rsidRPr="00584AF3">
              <w:rPr>
                <w:bCs/>
                <w:sz w:val="18"/>
                <w:szCs w:val="20"/>
                <w:lang w:bidi="ar-SA"/>
              </w:rPr>
              <w:t>Dietary fibre, sugars or any other carbohydrate</w:t>
            </w:r>
          </w:p>
        </w:tc>
        <w:tc>
          <w:tcPr>
            <w:tcW w:w="4618" w:type="dxa"/>
          </w:tcPr>
          <w:p w14:paraId="31A70DA6" w14:textId="77777777" w:rsidR="00023102" w:rsidRPr="00584AF3" w:rsidRDefault="00023102" w:rsidP="003D609A">
            <w:pPr>
              <w:ind w:left="142" w:hanging="142"/>
              <w:rPr>
                <w:bCs/>
                <w:sz w:val="18"/>
                <w:szCs w:val="20"/>
                <w:lang w:bidi="ar-SA"/>
              </w:rPr>
            </w:pPr>
            <w:r w:rsidRPr="00584AF3">
              <w:rPr>
                <w:bCs/>
                <w:sz w:val="18"/>
                <w:szCs w:val="20"/>
                <w:lang w:bidi="ar-SA"/>
              </w:rPr>
              <w:t>Average energy content per serving of the food and average quantity of carbohydrate, sugars and dietary fibre (calculated in accordance with clause 18) present per serving of the food</w:t>
            </w:r>
          </w:p>
        </w:tc>
      </w:tr>
      <w:tr w:rsidR="00023102" w:rsidRPr="00584AF3" w14:paraId="6D46BBE9" w14:textId="77777777" w:rsidTr="003D609A">
        <w:tc>
          <w:tcPr>
            <w:tcW w:w="4618" w:type="dxa"/>
          </w:tcPr>
          <w:p w14:paraId="15A0BE8E" w14:textId="77777777" w:rsidR="00023102" w:rsidRPr="00584AF3" w:rsidRDefault="00023102" w:rsidP="003D609A">
            <w:pPr>
              <w:ind w:left="142" w:hanging="142"/>
              <w:rPr>
                <w:bCs/>
                <w:sz w:val="18"/>
                <w:szCs w:val="20"/>
                <w:lang w:bidi="ar-SA"/>
              </w:rPr>
            </w:pPr>
            <w:r w:rsidRPr="00584AF3">
              <w:rPr>
                <w:bCs/>
                <w:sz w:val="18"/>
                <w:szCs w:val="20"/>
                <w:lang w:bidi="ar-SA"/>
              </w:rPr>
              <w:t>Energy</w:t>
            </w:r>
          </w:p>
        </w:tc>
        <w:tc>
          <w:tcPr>
            <w:tcW w:w="4618" w:type="dxa"/>
          </w:tcPr>
          <w:p w14:paraId="52BB0F4C" w14:textId="77777777" w:rsidR="00023102" w:rsidRPr="00584AF3" w:rsidRDefault="00023102" w:rsidP="003D609A">
            <w:pPr>
              <w:ind w:left="142" w:hanging="142"/>
              <w:rPr>
                <w:bCs/>
                <w:sz w:val="18"/>
                <w:szCs w:val="20"/>
                <w:lang w:bidi="ar-SA"/>
              </w:rPr>
            </w:pPr>
            <w:r w:rsidRPr="00584AF3">
              <w:rPr>
                <w:bCs/>
                <w:sz w:val="18"/>
                <w:szCs w:val="20"/>
                <w:lang w:bidi="ar-SA"/>
              </w:rPr>
              <w:t>Average energy content per serving of the food</w:t>
            </w:r>
          </w:p>
        </w:tc>
      </w:tr>
      <w:tr w:rsidR="00023102" w:rsidRPr="00584AF3" w14:paraId="7DD054BD" w14:textId="77777777" w:rsidTr="003D609A">
        <w:tc>
          <w:tcPr>
            <w:tcW w:w="4618" w:type="dxa"/>
            <w:tcBorders>
              <w:bottom w:val="single" w:sz="4" w:space="0" w:color="auto"/>
            </w:tcBorders>
          </w:tcPr>
          <w:p w14:paraId="4DA3C9A9" w14:textId="77777777" w:rsidR="00023102" w:rsidRPr="00584AF3" w:rsidRDefault="00023102" w:rsidP="003D609A">
            <w:pPr>
              <w:ind w:left="142" w:hanging="142"/>
              <w:rPr>
                <w:bCs/>
                <w:sz w:val="18"/>
                <w:szCs w:val="20"/>
                <w:lang w:bidi="ar-SA"/>
              </w:rPr>
            </w:pPr>
            <w:r w:rsidRPr="00584AF3">
              <w:rPr>
                <w:bCs/>
                <w:sz w:val="18"/>
                <w:szCs w:val="20"/>
                <w:lang w:bidi="ar-SA"/>
              </w:rPr>
              <w:t>Fat-free</w:t>
            </w:r>
          </w:p>
        </w:tc>
        <w:tc>
          <w:tcPr>
            <w:tcW w:w="4618" w:type="dxa"/>
            <w:tcBorders>
              <w:bottom w:val="single" w:sz="4" w:space="0" w:color="auto"/>
            </w:tcBorders>
          </w:tcPr>
          <w:p w14:paraId="1F7C4784" w14:textId="77777777" w:rsidR="00023102" w:rsidRPr="00584AF3" w:rsidRDefault="00023102" w:rsidP="003D609A">
            <w:pPr>
              <w:ind w:left="142" w:hanging="142"/>
              <w:rPr>
                <w:bCs/>
                <w:sz w:val="18"/>
                <w:szCs w:val="20"/>
                <w:lang w:bidi="ar-SA"/>
              </w:rPr>
            </w:pPr>
            <w:r w:rsidRPr="00584AF3">
              <w:rPr>
                <w:bCs/>
                <w:sz w:val="18"/>
                <w:szCs w:val="20"/>
                <w:lang w:bidi="ar-SA"/>
              </w:rPr>
              <w:t>Average energy content per serving of the food</w:t>
            </w:r>
          </w:p>
        </w:tc>
      </w:tr>
      <w:tr w:rsidR="00023102" w:rsidRPr="00584AF3" w14:paraId="1F422C2D" w14:textId="77777777" w:rsidTr="003D609A">
        <w:trPr>
          <w:cantSplit/>
        </w:trPr>
        <w:tc>
          <w:tcPr>
            <w:tcW w:w="4618" w:type="dxa"/>
            <w:tcBorders>
              <w:top w:val="single" w:sz="4" w:space="0" w:color="auto"/>
              <w:left w:val="single" w:sz="4" w:space="0" w:color="auto"/>
              <w:bottom w:val="single" w:sz="4" w:space="0" w:color="auto"/>
              <w:right w:val="single" w:sz="4" w:space="0" w:color="auto"/>
            </w:tcBorders>
          </w:tcPr>
          <w:p w14:paraId="3C4FC2EF" w14:textId="77777777" w:rsidR="00023102" w:rsidRPr="00584AF3" w:rsidRDefault="00023102" w:rsidP="003D609A">
            <w:pPr>
              <w:ind w:left="142" w:hanging="142"/>
              <w:rPr>
                <w:bCs/>
                <w:sz w:val="18"/>
                <w:szCs w:val="20"/>
                <w:lang w:bidi="ar-SA"/>
              </w:rPr>
            </w:pPr>
            <w:r w:rsidRPr="00584AF3">
              <w:rPr>
                <w:bCs/>
                <w:sz w:val="18"/>
                <w:szCs w:val="20"/>
                <w:lang w:bidi="ar-SA"/>
              </w:rPr>
              <w:t>Omega-3 fatty acids</w:t>
            </w:r>
          </w:p>
        </w:tc>
        <w:tc>
          <w:tcPr>
            <w:tcW w:w="4618" w:type="dxa"/>
            <w:tcBorders>
              <w:top w:val="single" w:sz="4" w:space="0" w:color="auto"/>
              <w:left w:val="single" w:sz="4" w:space="0" w:color="auto"/>
              <w:bottom w:val="single" w:sz="4" w:space="0" w:color="auto"/>
              <w:right w:val="single" w:sz="4" w:space="0" w:color="auto"/>
            </w:tcBorders>
          </w:tcPr>
          <w:p w14:paraId="5AF6106E" w14:textId="77777777" w:rsidR="00023102" w:rsidRPr="00584AF3" w:rsidRDefault="00023102" w:rsidP="003D609A">
            <w:pPr>
              <w:ind w:left="284" w:hanging="284"/>
              <w:rPr>
                <w:bCs/>
                <w:sz w:val="18"/>
                <w:szCs w:val="18"/>
                <w:lang w:bidi="ar-SA"/>
              </w:rPr>
            </w:pPr>
            <w:r w:rsidRPr="00584AF3">
              <w:rPr>
                <w:bCs/>
                <w:sz w:val="18"/>
                <w:szCs w:val="20"/>
                <w:lang w:bidi="ar-SA"/>
              </w:rPr>
              <w:t xml:space="preserve">(a) </w:t>
            </w:r>
            <w:r w:rsidRPr="00584AF3">
              <w:rPr>
                <w:bCs/>
                <w:sz w:val="18"/>
                <w:szCs w:val="20"/>
                <w:lang w:bidi="ar-SA"/>
              </w:rPr>
              <w:tab/>
            </w:r>
            <w:r w:rsidRPr="00584AF3">
              <w:rPr>
                <w:sz w:val="18"/>
                <w:szCs w:val="18"/>
                <w:lang w:bidi="ar-SA"/>
              </w:rPr>
              <w:t>Average quantity of saturated fatty acids, trans fatty acids, polyunsaturated fatty acids and monounsaturated fatty acids content per serving of the food</w:t>
            </w:r>
            <w:r w:rsidRPr="00584AF3">
              <w:rPr>
                <w:bCs/>
                <w:sz w:val="18"/>
                <w:szCs w:val="18"/>
                <w:lang w:bidi="ar-SA"/>
              </w:rPr>
              <w:t>; and</w:t>
            </w:r>
          </w:p>
          <w:p w14:paraId="2CE14259" w14:textId="77777777" w:rsidR="00023102" w:rsidRPr="00584AF3" w:rsidRDefault="00023102" w:rsidP="003D609A">
            <w:pPr>
              <w:ind w:left="284" w:hanging="284"/>
              <w:rPr>
                <w:bCs/>
                <w:sz w:val="18"/>
                <w:szCs w:val="18"/>
                <w:lang w:bidi="ar-SA"/>
              </w:rPr>
            </w:pPr>
            <w:r w:rsidRPr="00584AF3">
              <w:rPr>
                <w:bCs/>
                <w:sz w:val="18"/>
                <w:szCs w:val="20"/>
                <w:lang w:bidi="ar-SA"/>
              </w:rPr>
              <w:t>(b)</w:t>
            </w:r>
            <w:r w:rsidRPr="00584AF3">
              <w:rPr>
                <w:bCs/>
                <w:sz w:val="18"/>
                <w:szCs w:val="20"/>
                <w:lang w:bidi="ar-SA"/>
              </w:rPr>
              <w:tab/>
            </w:r>
            <w:r w:rsidRPr="00584AF3">
              <w:rPr>
                <w:sz w:val="18"/>
                <w:szCs w:val="18"/>
                <w:lang w:bidi="ar-SA"/>
              </w:rPr>
              <w:t xml:space="preserve">the average quantity of each type of omega-3 fatty acids </w:t>
            </w:r>
            <w:r w:rsidRPr="00584AF3">
              <w:rPr>
                <w:bCs/>
                <w:sz w:val="18"/>
                <w:szCs w:val="18"/>
                <w:lang w:bidi="ar-SA"/>
              </w:rPr>
              <w:t>per serving of the food</w:t>
            </w:r>
            <w:r w:rsidRPr="00584AF3">
              <w:rPr>
                <w:sz w:val="18"/>
                <w:szCs w:val="18"/>
                <w:lang w:bidi="ar-SA"/>
              </w:rPr>
              <w:t xml:space="preserve"> (</w:t>
            </w:r>
            <w:r w:rsidRPr="00584AF3">
              <w:rPr>
                <w:rFonts w:eastAsiaTheme="minorHAnsi" w:cstheme="minorBidi"/>
                <w:bCs/>
                <w:sz w:val="18"/>
                <w:szCs w:val="18"/>
                <w:lang w:eastAsia="en-AU" w:bidi="ar-SA"/>
              </w:rPr>
              <w:t>that is, alpha</w:t>
            </w:r>
            <w:r w:rsidRPr="00584AF3">
              <w:rPr>
                <w:rFonts w:eastAsiaTheme="minorHAnsi" w:cstheme="minorBidi"/>
                <w:bCs/>
                <w:sz w:val="18"/>
                <w:szCs w:val="18"/>
                <w:lang w:eastAsia="en-AU" w:bidi="ar-SA"/>
              </w:rPr>
              <w:noBreakHyphen/>
              <w:t>linolenic acid, docosahexaenoic acid, eicosapentaenoic acid or a combination of these)</w:t>
            </w:r>
            <w:r w:rsidRPr="00584AF3">
              <w:rPr>
                <w:bCs/>
                <w:sz w:val="18"/>
                <w:szCs w:val="18"/>
                <w:lang w:bidi="ar-SA"/>
              </w:rPr>
              <w:t>; and</w:t>
            </w:r>
          </w:p>
          <w:p w14:paraId="58BB29DF" w14:textId="77777777" w:rsidR="00023102" w:rsidRPr="00584AF3" w:rsidRDefault="00023102" w:rsidP="003D609A">
            <w:pPr>
              <w:ind w:left="284" w:hanging="284"/>
              <w:rPr>
                <w:bCs/>
                <w:sz w:val="18"/>
                <w:szCs w:val="20"/>
                <w:lang w:bidi="ar-SA"/>
              </w:rPr>
            </w:pPr>
            <w:r w:rsidRPr="00584AF3">
              <w:rPr>
                <w:bCs/>
                <w:sz w:val="18"/>
                <w:szCs w:val="18"/>
                <w:lang w:bidi="ar-SA"/>
              </w:rPr>
              <w:t xml:space="preserve">(c)  </w:t>
            </w:r>
            <w:r w:rsidRPr="00584AF3">
              <w:rPr>
                <w:sz w:val="18"/>
                <w:szCs w:val="18"/>
                <w:lang w:bidi="ar-SA"/>
              </w:rPr>
              <w:t>the average quantity of the total of omega-3 fatty acids per serving of the food</w:t>
            </w:r>
          </w:p>
        </w:tc>
      </w:tr>
      <w:tr w:rsidR="00023102" w:rsidRPr="00584AF3" w14:paraId="40161325" w14:textId="77777777" w:rsidTr="003D609A">
        <w:tc>
          <w:tcPr>
            <w:tcW w:w="4618" w:type="dxa"/>
            <w:tcBorders>
              <w:top w:val="single" w:sz="4" w:space="0" w:color="auto"/>
            </w:tcBorders>
          </w:tcPr>
          <w:p w14:paraId="48A57DDC" w14:textId="77777777" w:rsidR="00023102" w:rsidRPr="00584AF3" w:rsidRDefault="00023102" w:rsidP="003D609A">
            <w:pPr>
              <w:ind w:left="142" w:hanging="142"/>
              <w:rPr>
                <w:bCs/>
                <w:sz w:val="18"/>
                <w:szCs w:val="20"/>
                <w:lang w:bidi="ar-SA"/>
              </w:rPr>
            </w:pPr>
            <w:r w:rsidRPr="00584AF3">
              <w:rPr>
                <w:bCs/>
                <w:sz w:val="18"/>
                <w:szCs w:val="20"/>
                <w:lang w:bidi="ar-SA"/>
              </w:rPr>
              <w:t>Lactose</w:t>
            </w:r>
          </w:p>
        </w:tc>
        <w:tc>
          <w:tcPr>
            <w:tcW w:w="4618" w:type="dxa"/>
            <w:tcBorders>
              <w:top w:val="single" w:sz="4" w:space="0" w:color="auto"/>
            </w:tcBorders>
          </w:tcPr>
          <w:p w14:paraId="0FDA2DA7" w14:textId="77777777" w:rsidR="00023102" w:rsidRPr="00584AF3" w:rsidRDefault="00023102" w:rsidP="003D609A">
            <w:pPr>
              <w:ind w:left="142" w:hanging="142"/>
              <w:rPr>
                <w:bCs/>
                <w:sz w:val="18"/>
                <w:szCs w:val="20"/>
                <w:lang w:bidi="ar-SA"/>
              </w:rPr>
            </w:pPr>
            <w:r w:rsidRPr="00584AF3">
              <w:rPr>
                <w:bCs/>
                <w:sz w:val="18"/>
                <w:szCs w:val="20"/>
                <w:lang w:bidi="ar-SA"/>
              </w:rPr>
              <w:t>Average quantity of galactose content per serving of the food</w:t>
            </w:r>
          </w:p>
        </w:tc>
      </w:tr>
      <w:tr w:rsidR="00023102" w:rsidRPr="00584AF3" w14:paraId="590F8352" w14:textId="77777777" w:rsidTr="003D609A">
        <w:tc>
          <w:tcPr>
            <w:tcW w:w="4618" w:type="dxa"/>
          </w:tcPr>
          <w:p w14:paraId="29E9441D" w14:textId="77777777" w:rsidR="00023102" w:rsidRPr="00584AF3" w:rsidRDefault="00023102" w:rsidP="003D609A">
            <w:pPr>
              <w:ind w:left="142" w:hanging="142"/>
              <w:rPr>
                <w:bCs/>
                <w:sz w:val="18"/>
                <w:szCs w:val="20"/>
                <w:lang w:bidi="ar-SA"/>
              </w:rPr>
            </w:pPr>
            <w:r w:rsidRPr="00584AF3">
              <w:rPr>
                <w:bCs/>
                <w:sz w:val="18"/>
                <w:szCs w:val="20"/>
                <w:lang w:bidi="ar-SA"/>
              </w:rPr>
              <w:t>Potassium</w:t>
            </w:r>
          </w:p>
        </w:tc>
        <w:tc>
          <w:tcPr>
            <w:tcW w:w="4618" w:type="dxa"/>
          </w:tcPr>
          <w:p w14:paraId="74E6E5EC" w14:textId="77777777" w:rsidR="00023102" w:rsidRPr="00584AF3" w:rsidRDefault="00023102" w:rsidP="003D609A">
            <w:pPr>
              <w:ind w:left="142" w:hanging="142"/>
              <w:rPr>
                <w:bCs/>
                <w:sz w:val="18"/>
                <w:szCs w:val="20"/>
                <w:lang w:bidi="ar-SA"/>
              </w:rPr>
            </w:pPr>
            <w:r w:rsidRPr="00584AF3">
              <w:rPr>
                <w:bCs/>
                <w:sz w:val="18"/>
                <w:szCs w:val="20"/>
                <w:lang w:bidi="ar-SA"/>
              </w:rPr>
              <w:t>Average quantity of sodium content per serving of the food</w:t>
            </w:r>
          </w:p>
        </w:tc>
      </w:tr>
      <w:tr w:rsidR="00023102" w:rsidRPr="00584AF3" w14:paraId="4BC1F6DC" w14:textId="77777777" w:rsidTr="003D609A">
        <w:tc>
          <w:tcPr>
            <w:tcW w:w="4618" w:type="dxa"/>
          </w:tcPr>
          <w:p w14:paraId="432DD2E8" w14:textId="77777777" w:rsidR="00023102" w:rsidRPr="00584AF3" w:rsidRDefault="00023102" w:rsidP="003D609A">
            <w:pPr>
              <w:ind w:left="142" w:hanging="142"/>
              <w:rPr>
                <w:bCs/>
                <w:sz w:val="18"/>
                <w:szCs w:val="20"/>
                <w:lang w:bidi="ar-SA"/>
              </w:rPr>
            </w:pPr>
            <w:r w:rsidRPr="00584AF3">
              <w:rPr>
                <w:bCs/>
                <w:sz w:val="18"/>
                <w:szCs w:val="20"/>
                <w:lang w:bidi="ar-SA"/>
              </w:rPr>
              <w:t>Sodium or salt</w:t>
            </w:r>
          </w:p>
        </w:tc>
        <w:tc>
          <w:tcPr>
            <w:tcW w:w="4618" w:type="dxa"/>
          </w:tcPr>
          <w:p w14:paraId="5000DA42" w14:textId="77777777" w:rsidR="00023102" w:rsidRPr="00584AF3" w:rsidRDefault="00023102" w:rsidP="003D609A">
            <w:pPr>
              <w:ind w:left="142" w:hanging="142"/>
              <w:rPr>
                <w:bCs/>
                <w:sz w:val="18"/>
                <w:szCs w:val="20"/>
                <w:lang w:bidi="ar-SA"/>
              </w:rPr>
            </w:pPr>
            <w:r w:rsidRPr="00584AF3">
              <w:rPr>
                <w:bCs/>
                <w:sz w:val="18"/>
                <w:szCs w:val="20"/>
                <w:lang w:bidi="ar-SA"/>
              </w:rPr>
              <w:t>Average quantity of sodium and potassium content per serving of the food</w:t>
            </w:r>
          </w:p>
        </w:tc>
      </w:tr>
    </w:tbl>
    <w:p w14:paraId="6B282A70" w14:textId="77777777" w:rsidR="00023102" w:rsidRPr="00584AF3" w:rsidRDefault="00023102" w:rsidP="00023102">
      <w:pPr>
        <w:tabs>
          <w:tab w:val="left" w:pos="851"/>
        </w:tabs>
        <w:jc w:val="right"/>
        <w:rPr>
          <w:sz w:val="20"/>
          <w:szCs w:val="20"/>
          <w:lang w:bidi="ar-SA"/>
        </w:rPr>
      </w:pPr>
      <w:r w:rsidRPr="00584AF3">
        <w:rPr>
          <w:sz w:val="20"/>
          <w:szCs w:val="20"/>
          <w:lang w:bidi="ar-SA"/>
        </w:rPr>
        <w:t>”</w:t>
      </w:r>
    </w:p>
    <w:p w14:paraId="7EF106B1" w14:textId="77777777" w:rsidR="00023102" w:rsidRPr="00584AF3" w:rsidRDefault="00023102" w:rsidP="00023102">
      <w:pPr>
        <w:tabs>
          <w:tab w:val="left" w:pos="851"/>
        </w:tabs>
        <w:jc w:val="right"/>
        <w:rPr>
          <w:sz w:val="20"/>
          <w:szCs w:val="20"/>
          <w:lang w:bidi="ar-SA"/>
        </w:rPr>
      </w:pPr>
    </w:p>
    <w:p w14:paraId="7F9AA5D0" w14:textId="77777777" w:rsidR="00023102" w:rsidRDefault="00023102" w:rsidP="00023102">
      <w:pPr>
        <w:tabs>
          <w:tab w:val="left" w:pos="851"/>
        </w:tabs>
        <w:rPr>
          <w:sz w:val="20"/>
          <w:szCs w:val="20"/>
        </w:rPr>
      </w:pPr>
      <w:r w:rsidRPr="00584AF3">
        <w:rPr>
          <w:sz w:val="20"/>
          <w:szCs w:val="20"/>
          <w:lang w:bidi="ar-SA"/>
        </w:rPr>
        <w:t>[3.8]</w:t>
      </w:r>
      <w:r w:rsidRPr="00584AF3">
        <w:rPr>
          <w:sz w:val="20"/>
          <w:szCs w:val="20"/>
          <w:lang w:bidi="ar-SA"/>
        </w:rPr>
        <w:tab/>
        <w:t xml:space="preserve">omitting </w:t>
      </w:r>
      <w:r w:rsidRPr="00584AF3">
        <w:rPr>
          <w:sz w:val="20"/>
          <w:szCs w:val="20"/>
        </w:rPr>
        <w:t>“‘metric cup’ or”</w:t>
      </w:r>
      <w:r w:rsidRPr="00584AF3">
        <w:rPr>
          <w:sz w:val="20"/>
          <w:szCs w:val="20"/>
          <w:lang w:bidi="ar-SA"/>
        </w:rPr>
        <w:t xml:space="preserve"> </w:t>
      </w:r>
      <w:r w:rsidRPr="00584AF3">
        <w:rPr>
          <w:sz w:val="20"/>
          <w:szCs w:val="20"/>
        </w:rPr>
        <w:t>from paragraph 8(5)(b)</w:t>
      </w:r>
      <w:r>
        <w:rPr>
          <w:sz w:val="20"/>
          <w:szCs w:val="20"/>
        </w:rPr>
        <w:br w:type="page"/>
      </w:r>
    </w:p>
    <w:p w14:paraId="6AD823F5" w14:textId="77777777" w:rsidR="00023102" w:rsidRPr="00584AF3" w:rsidRDefault="00023102" w:rsidP="00023102">
      <w:pPr>
        <w:tabs>
          <w:tab w:val="left" w:pos="851"/>
        </w:tabs>
        <w:rPr>
          <w:sz w:val="20"/>
          <w:szCs w:val="20"/>
        </w:rPr>
      </w:pPr>
      <w:r w:rsidRPr="00584AF3">
        <w:rPr>
          <w:sz w:val="20"/>
          <w:szCs w:val="20"/>
          <w:lang w:bidi="ar-SA"/>
        </w:rPr>
        <w:lastRenderedPageBreak/>
        <w:t>[3.9]</w:t>
      </w:r>
      <w:r w:rsidRPr="00584AF3">
        <w:rPr>
          <w:sz w:val="20"/>
          <w:szCs w:val="20"/>
          <w:lang w:bidi="ar-SA"/>
        </w:rPr>
        <w:tab/>
        <w:t xml:space="preserve">omitting </w:t>
      </w:r>
      <w:r w:rsidRPr="00584AF3">
        <w:rPr>
          <w:sz w:val="20"/>
          <w:szCs w:val="20"/>
        </w:rPr>
        <w:t>“of unavailable carbohydrate” from subclause 8A(2)</w:t>
      </w:r>
      <w:r>
        <w:rPr>
          <w:sz w:val="20"/>
          <w:szCs w:val="20"/>
        </w:rPr>
        <w:t xml:space="preserve"> and</w:t>
      </w:r>
      <w:r w:rsidRPr="00584AF3">
        <w:rPr>
          <w:sz w:val="20"/>
          <w:szCs w:val="20"/>
        </w:rPr>
        <w:t xml:space="preserve"> substituting “of the average quantity of unavailable carbohydrate per serving of the food”</w:t>
      </w:r>
    </w:p>
    <w:p w14:paraId="00E8508A" w14:textId="77777777" w:rsidR="00023102" w:rsidRPr="00584AF3" w:rsidRDefault="00023102" w:rsidP="00023102">
      <w:pPr>
        <w:tabs>
          <w:tab w:val="left" w:pos="851"/>
        </w:tabs>
        <w:rPr>
          <w:sz w:val="20"/>
          <w:szCs w:val="20"/>
        </w:rPr>
      </w:pPr>
    </w:p>
    <w:p w14:paraId="6B666C36" w14:textId="77777777" w:rsidR="00023102" w:rsidRPr="00584AF3" w:rsidRDefault="00023102" w:rsidP="00023102">
      <w:pPr>
        <w:tabs>
          <w:tab w:val="left" w:pos="851"/>
        </w:tabs>
        <w:rPr>
          <w:sz w:val="20"/>
          <w:szCs w:val="20"/>
        </w:rPr>
      </w:pPr>
      <w:r w:rsidRPr="00584AF3">
        <w:rPr>
          <w:sz w:val="20"/>
          <w:szCs w:val="20"/>
          <w:lang w:bidi="ar-SA"/>
        </w:rPr>
        <w:t>[3.10]</w:t>
      </w:r>
      <w:r w:rsidRPr="00584AF3">
        <w:rPr>
          <w:sz w:val="20"/>
          <w:szCs w:val="20"/>
          <w:lang w:bidi="ar-SA"/>
        </w:rPr>
        <w:tab/>
        <w:t xml:space="preserve">omitting </w:t>
      </w:r>
      <w:r w:rsidRPr="00584AF3">
        <w:rPr>
          <w:sz w:val="20"/>
          <w:szCs w:val="20"/>
        </w:rPr>
        <w:t>“presence of relevant substances” from subclause 8A(4)</w:t>
      </w:r>
      <w:r>
        <w:rPr>
          <w:sz w:val="20"/>
          <w:szCs w:val="20"/>
        </w:rPr>
        <w:t xml:space="preserve"> and</w:t>
      </w:r>
      <w:r w:rsidRPr="00584AF3">
        <w:rPr>
          <w:sz w:val="20"/>
          <w:szCs w:val="20"/>
        </w:rPr>
        <w:t xml:space="preserve"> substituting “the average quantity of the substances per serving of the food”</w:t>
      </w:r>
    </w:p>
    <w:p w14:paraId="535248A8" w14:textId="77777777" w:rsidR="00023102" w:rsidRPr="000B6199" w:rsidRDefault="00023102" w:rsidP="00023102">
      <w:pPr>
        <w:tabs>
          <w:tab w:val="left" w:pos="851"/>
        </w:tabs>
        <w:rPr>
          <w:i/>
          <w:sz w:val="20"/>
          <w:szCs w:val="20"/>
          <w:lang w:bidi="ar-SA"/>
        </w:rPr>
      </w:pPr>
    </w:p>
    <w:p w14:paraId="16BA2FC6" w14:textId="77777777" w:rsidR="00023102" w:rsidRPr="00584AF3" w:rsidRDefault="00023102" w:rsidP="00023102">
      <w:pPr>
        <w:tabs>
          <w:tab w:val="left" w:pos="851"/>
        </w:tabs>
        <w:rPr>
          <w:rFonts w:eastAsiaTheme="minorHAnsi"/>
          <w:sz w:val="20"/>
          <w:szCs w:val="20"/>
          <w:lang w:bidi="ar-SA"/>
        </w:rPr>
      </w:pPr>
      <w:r w:rsidRPr="00584AF3">
        <w:rPr>
          <w:rFonts w:eastAsiaTheme="minorHAnsi"/>
          <w:sz w:val="20"/>
          <w:szCs w:val="20"/>
          <w:lang w:bidi="ar-SA"/>
        </w:rPr>
        <w:t>[3.11]</w:t>
      </w:r>
      <w:r>
        <w:rPr>
          <w:sz w:val="20"/>
          <w:szCs w:val="20"/>
          <w:lang w:bidi="ar-SA"/>
        </w:rPr>
        <w:tab/>
      </w:r>
      <w:r w:rsidRPr="00584AF3">
        <w:rPr>
          <w:sz w:val="20"/>
          <w:szCs w:val="20"/>
          <w:lang w:bidi="ar-SA"/>
        </w:rPr>
        <w:t>updating the Table of Provisions to reflect these variations.</w:t>
      </w:r>
    </w:p>
    <w:p w14:paraId="7FC77121" w14:textId="77777777" w:rsidR="00023102" w:rsidRPr="00584AF3" w:rsidRDefault="00023102" w:rsidP="00023102">
      <w:pPr>
        <w:tabs>
          <w:tab w:val="left" w:pos="851"/>
        </w:tabs>
        <w:rPr>
          <w:sz w:val="20"/>
          <w:szCs w:val="20"/>
          <w:lang w:bidi="ar-SA"/>
        </w:rPr>
      </w:pPr>
    </w:p>
    <w:p w14:paraId="214BF3A7" w14:textId="77777777" w:rsidR="00023102" w:rsidRPr="00584AF3" w:rsidRDefault="00023102" w:rsidP="00023102">
      <w:pPr>
        <w:tabs>
          <w:tab w:val="left" w:pos="851"/>
        </w:tabs>
        <w:rPr>
          <w:iCs/>
          <w:sz w:val="20"/>
          <w:szCs w:val="20"/>
        </w:rPr>
      </w:pPr>
      <w:r w:rsidRPr="00584AF3">
        <w:rPr>
          <w:b/>
          <w:bCs/>
          <w:sz w:val="20"/>
          <w:szCs w:val="20"/>
        </w:rPr>
        <w:t>[4]</w:t>
      </w:r>
      <w:r w:rsidRPr="00584AF3">
        <w:rPr>
          <w:sz w:val="20"/>
          <w:szCs w:val="20"/>
        </w:rPr>
        <w:tab/>
      </w:r>
      <w:r w:rsidRPr="00584AF3">
        <w:rPr>
          <w:b/>
          <w:bCs/>
          <w:iCs/>
          <w:sz w:val="20"/>
          <w:szCs w:val="20"/>
        </w:rPr>
        <w:t>Standard 2.9.2</w:t>
      </w:r>
      <w:r w:rsidRPr="00584AF3">
        <w:rPr>
          <w:iCs/>
          <w:sz w:val="20"/>
          <w:szCs w:val="20"/>
        </w:rPr>
        <w:t xml:space="preserve"> is varied by omitting subclause 9(1)</w:t>
      </w:r>
      <w:r>
        <w:rPr>
          <w:iCs/>
          <w:sz w:val="20"/>
          <w:szCs w:val="20"/>
        </w:rPr>
        <w:t xml:space="preserve"> and</w:t>
      </w:r>
      <w:r w:rsidRPr="00584AF3">
        <w:rPr>
          <w:iCs/>
          <w:sz w:val="20"/>
          <w:szCs w:val="20"/>
        </w:rPr>
        <w:t xml:space="preserve"> substituting</w:t>
      </w:r>
    </w:p>
    <w:p w14:paraId="79CF2076" w14:textId="77777777" w:rsidR="00023102" w:rsidRPr="00584AF3" w:rsidRDefault="00023102" w:rsidP="00023102">
      <w:pPr>
        <w:tabs>
          <w:tab w:val="left" w:pos="851"/>
        </w:tabs>
        <w:rPr>
          <w:sz w:val="20"/>
          <w:szCs w:val="20"/>
          <w:lang w:bidi="ar-SA"/>
        </w:rPr>
      </w:pPr>
      <w:r w:rsidRPr="00584AF3">
        <w:rPr>
          <w:sz w:val="20"/>
          <w:szCs w:val="20"/>
          <w:lang w:bidi="ar-SA"/>
        </w:rPr>
        <w:t xml:space="preserve"> </w:t>
      </w:r>
    </w:p>
    <w:p w14:paraId="1A1D440F" w14:textId="77777777" w:rsidR="00023102" w:rsidRPr="00584AF3" w:rsidRDefault="00023102" w:rsidP="00023102">
      <w:pPr>
        <w:tabs>
          <w:tab w:val="left" w:pos="851"/>
        </w:tabs>
        <w:rPr>
          <w:sz w:val="20"/>
          <w:szCs w:val="20"/>
          <w:lang w:bidi="ar-SA"/>
        </w:rPr>
      </w:pPr>
      <w:r w:rsidRPr="00584AF3">
        <w:rPr>
          <w:sz w:val="20"/>
          <w:szCs w:val="20"/>
          <w:lang w:bidi="ar-SA"/>
        </w:rPr>
        <w:t>“(1)</w:t>
      </w:r>
      <w:r w:rsidRPr="00584AF3">
        <w:rPr>
          <w:sz w:val="20"/>
          <w:szCs w:val="20"/>
          <w:lang w:bidi="ar-SA"/>
        </w:rPr>
        <w:tab/>
        <w:t xml:space="preserve">The following provisions of Standard 1.2.8 do not apply to a food standardised by this Standard – </w:t>
      </w:r>
    </w:p>
    <w:p w14:paraId="6FC8AA38" w14:textId="77777777" w:rsidR="00023102" w:rsidRPr="00584AF3" w:rsidRDefault="00023102" w:rsidP="00023102">
      <w:pPr>
        <w:tabs>
          <w:tab w:val="left" w:pos="851"/>
        </w:tabs>
        <w:rPr>
          <w:szCs w:val="20"/>
          <w:lang w:bidi="ar-SA"/>
        </w:rPr>
      </w:pPr>
    </w:p>
    <w:p w14:paraId="00371E15" w14:textId="77777777" w:rsidR="00023102" w:rsidRPr="00584AF3" w:rsidRDefault="00023102" w:rsidP="00023102">
      <w:pPr>
        <w:pStyle w:val="Paragraph"/>
        <w:rPr>
          <w:lang w:bidi="ar-SA"/>
        </w:rPr>
      </w:pPr>
      <w:r w:rsidRPr="00584AF3">
        <w:rPr>
          <w:lang w:bidi="ar-SA"/>
        </w:rPr>
        <w:t>(a)</w:t>
      </w:r>
      <w:r w:rsidRPr="00584AF3">
        <w:rPr>
          <w:lang w:bidi="ar-SA"/>
        </w:rPr>
        <w:tab/>
        <w:t>paragraph 3(j); and</w:t>
      </w:r>
    </w:p>
    <w:p w14:paraId="5D89C925" w14:textId="77777777" w:rsidR="00023102" w:rsidRPr="00584AF3" w:rsidRDefault="00023102" w:rsidP="00023102">
      <w:pPr>
        <w:pStyle w:val="Paragraph"/>
        <w:rPr>
          <w:lang w:bidi="ar-SA"/>
        </w:rPr>
      </w:pPr>
      <w:r w:rsidRPr="00584AF3">
        <w:rPr>
          <w:lang w:bidi="ar-SA"/>
        </w:rPr>
        <w:t>(b)</w:t>
      </w:r>
      <w:r w:rsidRPr="00584AF3">
        <w:rPr>
          <w:lang w:bidi="ar-SA"/>
        </w:rPr>
        <w:tab/>
        <w:t>subclause 4(4); and</w:t>
      </w:r>
    </w:p>
    <w:p w14:paraId="09F66F28" w14:textId="77777777" w:rsidR="00023102" w:rsidRPr="00584AF3" w:rsidRDefault="00023102" w:rsidP="00023102">
      <w:pPr>
        <w:pStyle w:val="Paragraph"/>
        <w:rPr>
          <w:lang w:bidi="ar-SA"/>
        </w:rPr>
      </w:pPr>
      <w:r w:rsidRPr="00584AF3">
        <w:rPr>
          <w:lang w:bidi="ar-SA"/>
        </w:rPr>
        <w:t>(c)</w:t>
      </w:r>
      <w:r w:rsidRPr="00584AF3">
        <w:rPr>
          <w:lang w:bidi="ar-SA"/>
        </w:rPr>
        <w:tab/>
        <w:t>paragraph 5(1)(e) as it relates to saturated fat; and</w:t>
      </w:r>
    </w:p>
    <w:p w14:paraId="4E1303CF" w14:textId="77777777" w:rsidR="00023102" w:rsidRPr="00584AF3" w:rsidRDefault="00023102" w:rsidP="00023102">
      <w:pPr>
        <w:pStyle w:val="Paragraph"/>
        <w:rPr>
          <w:lang w:bidi="ar-SA"/>
        </w:rPr>
      </w:pPr>
      <w:r w:rsidRPr="00584AF3">
        <w:rPr>
          <w:lang w:bidi="ar-SA"/>
        </w:rPr>
        <w:t>(d)</w:t>
      </w:r>
      <w:r w:rsidRPr="00584AF3">
        <w:rPr>
          <w:lang w:bidi="ar-SA"/>
        </w:rPr>
        <w:tab/>
        <w:t>subclauses 5(2), 5(4) and 5(5); and</w:t>
      </w:r>
    </w:p>
    <w:p w14:paraId="4A85F178" w14:textId="77777777" w:rsidR="00023102" w:rsidRPr="00584AF3" w:rsidRDefault="00023102" w:rsidP="00023102">
      <w:pPr>
        <w:pStyle w:val="Paragraph"/>
        <w:rPr>
          <w:lang w:bidi="ar-SA"/>
        </w:rPr>
      </w:pPr>
      <w:r w:rsidRPr="00584AF3">
        <w:rPr>
          <w:lang w:bidi="ar-SA"/>
        </w:rPr>
        <w:t>(e)</w:t>
      </w:r>
      <w:r w:rsidRPr="00584AF3">
        <w:rPr>
          <w:lang w:bidi="ar-SA"/>
        </w:rPr>
        <w:tab/>
        <w:t>clause 7; and</w:t>
      </w:r>
    </w:p>
    <w:p w14:paraId="0F8D5732" w14:textId="77777777" w:rsidR="00023102" w:rsidRPr="00584AF3" w:rsidRDefault="00023102" w:rsidP="00023102">
      <w:pPr>
        <w:pStyle w:val="Paragraph"/>
        <w:rPr>
          <w:lang w:bidi="ar-SA"/>
        </w:rPr>
      </w:pPr>
      <w:r w:rsidRPr="00584AF3">
        <w:rPr>
          <w:lang w:bidi="ar-SA"/>
        </w:rPr>
        <w:t>(f)</w:t>
      </w:r>
      <w:r w:rsidRPr="00584AF3">
        <w:rPr>
          <w:lang w:bidi="ar-SA"/>
        </w:rPr>
        <w:tab/>
        <w:t>clause 8; and</w:t>
      </w:r>
    </w:p>
    <w:p w14:paraId="3C56E165" w14:textId="77777777" w:rsidR="00023102" w:rsidRPr="00584AF3" w:rsidRDefault="00023102" w:rsidP="00023102">
      <w:pPr>
        <w:pStyle w:val="Paragraph"/>
        <w:rPr>
          <w:lang w:bidi="ar-SA"/>
        </w:rPr>
      </w:pPr>
      <w:r w:rsidRPr="00584AF3">
        <w:rPr>
          <w:lang w:bidi="ar-SA"/>
        </w:rPr>
        <w:t>(g)</w:t>
      </w:r>
      <w:r w:rsidRPr="00584AF3">
        <w:rPr>
          <w:lang w:bidi="ar-SA"/>
        </w:rPr>
        <w:tab/>
        <w:t xml:space="preserve">clause 8A; and </w:t>
      </w:r>
    </w:p>
    <w:p w14:paraId="6C11BD6D" w14:textId="77777777" w:rsidR="00023102" w:rsidRPr="00584AF3" w:rsidRDefault="00023102" w:rsidP="00023102">
      <w:pPr>
        <w:pStyle w:val="Paragraph"/>
        <w:rPr>
          <w:lang w:bidi="ar-SA"/>
        </w:rPr>
      </w:pPr>
      <w:r w:rsidRPr="00584AF3">
        <w:rPr>
          <w:lang w:bidi="ar-SA"/>
        </w:rPr>
        <w:t>(h)</w:t>
      </w:r>
      <w:r w:rsidRPr="00584AF3">
        <w:rPr>
          <w:lang w:bidi="ar-SA"/>
        </w:rPr>
        <w:tab/>
        <w:t>clause 9.”</w:t>
      </w:r>
    </w:p>
    <w:p w14:paraId="7F9CE159" w14:textId="77777777" w:rsidR="00023102" w:rsidRDefault="00023102" w:rsidP="00023102"/>
    <w:p w14:paraId="6CD0F4DD" w14:textId="77777777" w:rsidR="0012388D" w:rsidRDefault="0012388D" w:rsidP="00795D86"/>
    <w:bookmarkEnd w:id="155"/>
    <w:bookmarkEnd w:id="156"/>
    <w:bookmarkEnd w:id="157"/>
    <w:bookmarkEnd w:id="158"/>
    <w:bookmarkEnd w:id="159"/>
    <w:bookmarkEnd w:id="160"/>
    <w:bookmarkEnd w:id="161"/>
    <w:p w14:paraId="62A085D3" w14:textId="72A7BAE8" w:rsidR="00023102" w:rsidRDefault="00023102">
      <w:pPr>
        <w:widowControl/>
      </w:pPr>
      <w:r>
        <w:br w:type="page"/>
      </w:r>
    </w:p>
    <w:p w14:paraId="23CAEE28" w14:textId="3D2992AC" w:rsidR="00023102" w:rsidRPr="00972752" w:rsidRDefault="00023102" w:rsidP="005B06CC">
      <w:pPr>
        <w:pStyle w:val="FSCh2Part"/>
        <w:ind w:left="0" w:firstLine="0"/>
      </w:pPr>
      <w:bookmarkStart w:id="162" w:name="_Toc415572277"/>
      <w:bookmarkStart w:id="163" w:name="_Toc420053002"/>
      <w:bookmarkStart w:id="164" w:name="_Toc428369916"/>
      <w:bookmarkStart w:id="165" w:name="_Toc428861623"/>
      <w:r w:rsidRPr="00932F14">
        <w:lastRenderedPageBreak/>
        <w:t xml:space="preserve">Attachment </w:t>
      </w:r>
      <w:r>
        <w:t>D –</w:t>
      </w:r>
      <w:bookmarkStart w:id="166" w:name="_Toc414880388"/>
      <w:bookmarkEnd w:id="162"/>
      <w:r>
        <w:t xml:space="preserve"> </w:t>
      </w:r>
      <w:r w:rsidRPr="00D80068">
        <w:t xml:space="preserve">Draft variation to the revised </w:t>
      </w:r>
      <w:r w:rsidRPr="00D80068">
        <w:rPr>
          <w:i/>
        </w:rPr>
        <w:t xml:space="preserve">Australia New Zealand Food Standards Code </w:t>
      </w:r>
      <w:r w:rsidRPr="00055DB1">
        <w:t>(commencing 1 March 2016</w:t>
      </w:r>
      <w:bookmarkEnd w:id="166"/>
      <w:r w:rsidRPr="00055DB1">
        <w:t>)</w:t>
      </w:r>
      <w:bookmarkEnd w:id="163"/>
      <w:r>
        <w:t xml:space="preserve"> (</w:t>
      </w:r>
      <w:r w:rsidR="005742D0">
        <w:t>call for s</w:t>
      </w:r>
      <w:r>
        <w:t>ubmissions)</w:t>
      </w:r>
      <w:bookmarkEnd w:id="164"/>
      <w:bookmarkEnd w:id="165"/>
    </w:p>
    <w:p w14:paraId="3B1F2F5A" w14:textId="77777777" w:rsidR="00023102" w:rsidRPr="00D80068" w:rsidRDefault="00023102" w:rsidP="00023102">
      <w:pPr>
        <w:rPr>
          <w:noProof/>
          <w:sz w:val="20"/>
          <w:lang w:val="en-AU" w:eastAsia="en-AU"/>
        </w:rPr>
      </w:pPr>
      <w:r w:rsidRPr="00D80068">
        <w:rPr>
          <w:noProof/>
          <w:sz w:val="20"/>
          <w:lang w:eastAsia="en-GB" w:bidi="ar-SA"/>
        </w:rPr>
        <w:drawing>
          <wp:inline distT="0" distB="0" distL="0" distR="0" wp14:anchorId="1458CD94" wp14:editId="2DD3517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6859BA" w14:textId="77777777" w:rsidR="00023102" w:rsidRPr="00D80068" w:rsidRDefault="00023102" w:rsidP="00023102">
      <w:pPr>
        <w:pBdr>
          <w:bottom w:val="single" w:sz="4" w:space="1" w:color="auto"/>
        </w:pBdr>
        <w:tabs>
          <w:tab w:val="left" w:pos="851"/>
        </w:tabs>
        <w:jc w:val="center"/>
        <w:rPr>
          <w:sz w:val="20"/>
          <w:szCs w:val="20"/>
          <w:lang w:bidi="ar-SA"/>
        </w:rPr>
      </w:pPr>
    </w:p>
    <w:p w14:paraId="5C46F9BA" w14:textId="77777777" w:rsidR="00023102" w:rsidRDefault="00023102" w:rsidP="00023102">
      <w:pPr>
        <w:pBdr>
          <w:bottom w:val="single" w:sz="4" w:space="1" w:color="auto"/>
        </w:pBdr>
        <w:rPr>
          <w:b/>
          <w:sz w:val="20"/>
          <w:szCs w:val="20"/>
        </w:rPr>
      </w:pPr>
      <w:r w:rsidRPr="007B0656">
        <w:rPr>
          <w:rFonts w:cs="Arial"/>
          <w:b/>
          <w:i/>
          <w:sz w:val="20"/>
          <w:szCs w:val="20"/>
        </w:rPr>
        <w:t>Australia New Zealand Food Standards Code</w:t>
      </w:r>
      <w:r w:rsidRPr="00D80068">
        <w:rPr>
          <w:rFonts w:cs="Arial"/>
          <w:b/>
          <w:sz w:val="20"/>
          <w:szCs w:val="20"/>
        </w:rPr>
        <w:t xml:space="preserve"> –</w:t>
      </w:r>
      <w:r w:rsidRPr="00D80068">
        <w:rPr>
          <w:rFonts w:cs="Arial"/>
          <w:b/>
          <w:color w:val="000000"/>
          <w:sz w:val="20"/>
          <w:szCs w:val="20"/>
        </w:rPr>
        <w:t xml:space="preserve"> Transitional Variation</w:t>
      </w:r>
      <w:r w:rsidRPr="00D80068">
        <w:rPr>
          <w:rFonts w:cs="Arial"/>
          <w:b/>
          <w:sz w:val="20"/>
          <w:szCs w:val="20"/>
        </w:rPr>
        <w:t xml:space="preserve"> 2015 (</w:t>
      </w:r>
      <w:r w:rsidRPr="00D80068">
        <w:rPr>
          <w:b/>
          <w:sz w:val="20"/>
        </w:rPr>
        <w:t>Proposal P1037 – Amendments associated with Health and Nutrition Claims</w:t>
      </w:r>
      <w:r w:rsidRPr="00D80068">
        <w:rPr>
          <w:rFonts w:cs="Arial"/>
          <w:b/>
          <w:sz w:val="20"/>
          <w:szCs w:val="20"/>
        </w:rPr>
        <w:t>)</w:t>
      </w:r>
      <w:r w:rsidRPr="00D80068">
        <w:rPr>
          <w:b/>
          <w:sz w:val="20"/>
          <w:szCs w:val="20"/>
        </w:rPr>
        <w:t xml:space="preserve"> </w:t>
      </w:r>
    </w:p>
    <w:p w14:paraId="29E74783" w14:textId="77777777" w:rsidR="00023102" w:rsidRPr="00D80068" w:rsidRDefault="00023102" w:rsidP="00023102">
      <w:pPr>
        <w:pBdr>
          <w:bottom w:val="single" w:sz="4" w:space="1" w:color="auto"/>
        </w:pBdr>
        <w:rPr>
          <w:b/>
          <w:sz w:val="20"/>
          <w:szCs w:val="20"/>
        </w:rPr>
      </w:pPr>
    </w:p>
    <w:p w14:paraId="28AF387E" w14:textId="77777777" w:rsidR="00023102" w:rsidRPr="00D80068" w:rsidRDefault="00023102" w:rsidP="00023102">
      <w:pPr>
        <w:rPr>
          <w:sz w:val="20"/>
        </w:rPr>
      </w:pPr>
    </w:p>
    <w:p w14:paraId="651713AF" w14:textId="77777777" w:rsidR="00023102" w:rsidRPr="00D80068" w:rsidRDefault="00023102" w:rsidP="00023102">
      <w:pPr>
        <w:rPr>
          <w:sz w:val="20"/>
        </w:rPr>
      </w:pPr>
      <w:r w:rsidRPr="00D80068">
        <w:rPr>
          <w:sz w:val="20"/>
        </w:rPr>
        <w:t xml:space="preserve">The Board of Food Standards Australia New Zealand gives notice of the making of this variation under section 92 of the </w:t>
      </w:r>
      <w:r w:rsidRPr="00D80068">
        <w:rPr>
          <w:i/>
          <w:sz w:val="20"/>
        </w:rPr>
        <w:t>Food Standards Australia New Zealand Act 1991</w:t>
      </w:r>
      <w:r w:rsidRPr="00D80068">
        <w:rPr>
          <w:sz w:val="20"/>
        </w:rPr>
        <w:t>.  The Standard commences on the date specified in clause 2 of the variation.</w:t>
      </w:r>
    </w:p>
    <w:p w14:paraId="415B1F94" w14:textId="77777777" w:rsidR="00023102" w:rsidRPr="00D80068" w:rsidRDefault="00023102" w:rsidP="00023102">
      <w:pPr>
        <w:rPr>
          <w:sz w:val="20"/>
        </w:rPr>
      </w:pPr>
    </w:p>
    <w:p w14:paraId="5FD74608" w14:textId="77777777" w:rsidR="00023102" w:rsidRPr="00D80068" w:rsidRDefault="00023102" w:rsidP="00023102">
      <w:pPr>
        <w:rPr>
          <w:sz w:val="20"/>
        </w:rPr>
      </w:pPr>
      <w:r w:rsidRPr="00D80068">
        <w:rPr>
          <w:sz w:val="20"/>
        </w:rPr>
        <w:t>Dated [To be completed by Standards Management Officer]</w:t>
      </w:r>
    </w:p>
    <w:p w14:paraId="60A695DE" w14:textId="77777777" w:rsidR="00023102" w:rsidRPr="00D80068" w:rsidRDefault="00023102" w:rsidP="00023102">
      <w:pPr>
        <w:rPr>
          <w:sz w:val="20"/>
        </w:rPr>
      </w:pPr>
    </w:p>
    <w:p w14:paraId="71D0543D" w14:textId="77777777" w:rsidR="00023102" w:rsidRPr="00D80068" w:rsidRDefault="00023102" w:rsidP="00023102">
      <w:pPr>
        <w:rPr>
          <w:sz w:val="20"/>
        </w:rPr>
      </w:pPr>
    </w:p>
    <w:p w14:paraId="603CAC42" w14:textId="77777777" w:rsidR="00023102" w:rsidRPr="00D80068" w:rsidRDefault="00023102" w:rsidP="00023102">
      <w:pPr>
        <w:rPr>
          <w:sz w:val="20"/>
        </w:rPr>
      </w:pPr>
    </w:p>
    <w:p w14:paraId="12A942CF" w14:textId="77777777" w:rsidR="00023102" w:rsidRPr="00D80068" w:rsidRDefault="00023102" w:rsidP="00023102">
      <w:pPr>
        <w:rPr>
          <w:sz w:val="20"/>
        </w:rPr>
      </w:pPr>
    </w:p>
    <w:p w14:paraId="0274C915" w14:textId="77777777" w:rsidR="00023102" w:rsidRPr="00D80068" w:rsidRDefault="00023102" w:rsidP="00023102">
      <w:pPr>
        <w:rPr>
          <w:sz w:val="20"/>
        </w:rPr>
      </w:pPr>
    </w:p>
    <w:p w14:paraId="5552E1DA" w14:textId="77777777" w:rsidR="00023102" w:rsidRPr="00D80068" w:rsidRDefault="00023102" w:rsidP="00023102">
      <w:pPr>
        <w:rPr>
          <w:sz w:val="20"/>
        </w:rPr>
      </w:pPr>
      <w:r w:rsidRPr="00D80068">
        <w:rPr>
          <w:sz w:val="20"/>
        </w:rPr>
        <w:t>Standards Management Officer</w:t>
      </w:r>
    </w:p>
    <w:p w14:paraId="67AF3D04" w14:textId="77777777" w:rsidR="00023102" w:rsidRPr="00D80068" w:rsidRDefault="00023102" w:rsidP="00023102">
      <w:pPr>
        <w:rPr>
          <w:sz w:val="20"/>
        </w:rPr>
      </w:pPr>
      <w:r w:rsidRPr="00D80068">
        <w:rPr>
          <w:sz w:val="20"/>
        </w:rPr>
        <w:t>Delegate of the Board of Food Standards Australia New Zealand</w:t>
      </w:r>
    </w:p>
    <w:p w14:paraId="48C4A49C" w14:textId="77777777" w:rsidR="00023102" w:rsidRPr="00D80068" w:rsidRDefault="00023102" w:rsidP="00023102">
      <w:pPr>
        <w:rPr>
          <w:sz w:val="20"/>
        </w:rPr>
      </w:pPr>
    </w:p>
    <w:p w14:paraId="3AEBCC90" w14:textId="77777777" w:rsidR="00023102" w:rsidRPr="00D80068" w:rsidRDefault="00023102" w:rsidP="00023102">
      <w:pPr>
        <w:rPr>
          <w:sz w:val="20"/>
        </w:rPr>
      </w:pPr>
    </w:p>
    <w:p w14:paraId="03138CA1" w14:textId="77777777" w:rsidR="00023102" w:rsidRPr="00D80068" w:rsidRDefault="00023102" w:rsidP="00023102">
      <w:pPr>
        <w:rPr>
          <w:sz w:val="20"/>
        </w:rPr>
      </w:pPr>
    </w:p>
    <w:p w14:paraId="2006A793" w14:textId="77777777" w:rsidR="00023102" w:rsidRPr="00D80068" w:rsidRDefault="00023102" w:rsidP="00023102">
      <w:pPr>
        <w:rPr>
          <w:sz w:val="20"/>
        </w:rPr>
      </w:pPr>
    </w:p>
    <w:p w14:paraId="3A5776E4" w14:textId="77777777" w:rsidR="00023102" w:rsidRPr="00D80068" w:rsidRDefault="00023102" w:rsidP="00023102">
      <w:pPr>
        <w:rPr>
          <w:sz w:val="20"/>
        </w:rPr>
      </w:pPr>
    </w:p>
    <w:p w14:paraId="4878D40E" w14:textId="77777777" w:rsidR="00023102" w:rsidRPr="00D80068" w:rsidRDefault="00023102" w:rsidP="00023102">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80068">
        <w:rPr>
          <w:b/>
          <w:sz w:val="20"/>
          <w:szCs w:val="20"/>
          <w:lang w:val="en-AU"/>
        </w:rPr>
        <w:t xml:space="preserve">Note:  </w:t>
      </w:r>
    </w:p>
    <w:p w14:paraId="5E6C0503" w14:textId="77777777" w:rsidR="00023102" w:rsidRPr="00D80068" w:rsidRDefault="00023102" w:rsidP="0002310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71091B74" w14:textId="77777777" w:rsidR="00023102" w:rsidRPr="00D80068" w:rsidRDefault="00023102" w:rsidP="0002310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80068">
        <w:rPr>
          <w:sz w:val="20"/>
          <w:szCs w:val="20"/>
          <w:lang w:val="en-AU"/>
        </w:rPr>
        <w:t xml:space="preserve">This variation will be published in the Commonwealth of Australia Gazette No. FSC </w:t>
      </w:r>
      <w:r w:rsidRPr="00D80068">
        <w:rPr>
          <w:color w:val="FF0000"/>
          <w:sz w:val="20"/>
          <w:szCs w:val="20"/>
          <w:lang w:val="en-AU"/>
        </w:rPr>
        <w:t>XX on XX Month 20XX</w:t>
      </w:r>
      <w:r w:rsidRPr="00D80068">
        <w:rPr>
          <w:sz w:val="20"/>
          <w:szCs w:val="20"/>
          <w:lang w:val="en-AU"/>
        </w:rPr>
        <w:t xml:space="preserve">. </w:t>
      </w:r>
    </w:p>
    <w:p w14:paraId="056F2968" w14:textId="77777777" w:rsidR="00023102" w:rsidRPr="00D80068" w:rsidRDefault="00023102" w:rsidP="00023102">
      <w:pPr>
        <w:rPr>
          <w:sz w:val="20"/>
        </w:rPr>
      </w:pPr>
    </w:p>
    <w:p w14:paraId="14941C6D" w14:textId="77777777" w:rsidR="00023102" w:rsidRPr="00D80068" w:rsidRDefault="00023102" w:rsidP="00023102">
      <w:pPr>
        <w:keepNext/>
        <w:keepLines/>
        <w:widowControl/>
        <w:spacing w:before="360"/>
        <w:ind w:left="964" w:hanging="964"/>
        <w:rPr>
          <w:rFonts w:cs="Arial"/>
          <w:b/>
          <w:szCs w:val="22"/>
          <w:lang w:val="en-AU" w:eastAsia="en-AU" w:bidi="ar-SA"/>
        </w:rPr>
      </w:pPr>
      <w:r w:rsidRPr="00D80068">
        <w:rPr>
          <w:rFonts w:cs="Arial"/>
          <w:b/>
          <w:szCs w:val="22"/>
          <w:lang w:val="en-AU" w:eastAsia="en-AU" w:bidi="ar-SA"/>
        </w:rPr>
        <w:br w:type="page"/>
      </w:r>
    </w:p>
    <w:p w14:paraId="11134A6E" w14:textId="77777777" w:rsidR="00023102" w:rsidRPr="00D80068" w:rsidRDefault="00023102" w:rsidP="00023102">
      <w:pPr>
        <w:keepNext/>
        <w:keepLines/>
        <w:widowControl/>
        <w:ind w:left="851" w:hanging="851"/>
        <w:rPr>
          <w:b/>
          <w:sz w:val="20"/>
          <w:szCs w:val="20"/>
          <w:lang w:val="en-AU" w:eastAsia="en-AU" w:bidi="ar-SA"/>
        </w:rPr>
      </w:pPr>
      <w:r w:rsidRPr="00D80068">
        <w:rPr>
          <w:b/>
          <w:sz w:val="20"/>
          <w:szCs w:val="20"/>
          <w:lang w:val="en-AU" w:eastAsia="en-AU" w:bidi="ar-SA"/>
        </w:rPr>
        <w:lastRenderedPageBreak/>
        <w:t>1</w:t>
      </w:r>
      <w:r w:rsidRPr="00D80068">
        <w:rPr>
          <w:b/>
          <w:sz w:val="20"/>
          <w:szCs w:val="20"/>
          <w:lang w:val="en-AU" w:eastAsia="en-AU" w:bidi="ar-SA"/>
        </w:rPr>
        <w:tab/>
        <w:t>Name of instrument</w:t>
      </w:r>
    </w:p>
    <w:p w14:paraId="2C1B26B8" w14:textId="77777777" w:rsidR="00023102" w:rsidRDefault="00023102" w:rsidP="00023102">
      <w:pPr>
        <w:keepLines/>
        <w:widowControl/>
        <w:tabs>
          <w:tab w:val="right" w:pos="794"/>
        </w:tabs>
        <w:ind w:left="851" w:hanging="851"/>
        <w:jc w:val="both"/>
        <w:rPr>
          <w:rFonts w:cs="Arial"/>
          <w:sz w:val="20"/>
          <w:szCs w:val="20"/>
          <w:lang w:val="en-AU" w:eastAsia="en-AU" w:bidi="ar-SA"/>
        </w:rPr>
      </w:pPr>
    </w:p>
    <w:p w14:paraId="28A922A2" w14:textId="77777777" w:rsidR="00023102" w:rsidRDefault="00023102" w:rsidP="007B0656">
      <w:pPr>
        <w:keepLines/>
        <w:widowControl/>
        <w:rPr>
          <w:rFonts w:cs="Arial"/>
          <w:i/>
          <w:sz w:val="20"/>
          <w:szCs w:val="20"/>
          <w:lang w:val="en-AU" w:eastAsia="en-AU" w:bidi="ar-SA"/>
        </w:rPr>
      </w:pPr>
      <w:r w:rsidRPr="00D80068">
        <w:rPr>
          <w:rFonts w:cs="Arial"/>
          <w:sz w:val="20"/>
          <w:szCs w:val="20"/>
          <w:lang w:val="en-AU" w:eastAsia="en-AU" w:bidi="ar-SA"/>
        </w:rPr>
        <w:t xml:space="preserve">This instrument is the </w:t>
      </w:r>
      <w:r w:rsidRPr="00D80068">
        <w:rPr>
          <w:rFonts w:cs="Arial"/>
          <w:i/>
          <w:sz w:val="20"/>
          <w:szCs w:val="20"/>
          <w:lang w:val="en-AU" w:eastAsia="en-AU" w:bidi="ar-SA"/>
        </w:rPr>
        <w:t>Australia New Zealand Food Standards Code –</w:t>
      </w:r>
      <w:r w:rsidRPr="00D80068">
        <w:rPr>
          <w:rFonts w:cs="Arial"/>
          <w:i/>
          <w:color w:val="000000"/>
          <w:sz w:val="20"/>
          <w:szCs w:val="20"/>
          <w:lang w:val="en-AU" w:eastAsia="en-AU" w:bidi="ar-SA"/>
        </w:rPr>
        <w:t xml:space="preserve"> Transitional Variation</w:t>
      </w:r>
      <w:r w:rsidRPr="00D80068">
        <w:rPr>
          <w:rFonts w:cs="Arial"/>
          <w:i/>
          <w:sz w:val="20"/>
          <w:szCs w:val="20"/>
          <w:lang w:val="en-AU" w:eastAsia="en-AU" w:bidi="ar-SA"/>
        </w:rPr>
        <w:t xml:space="preserve"> 2015 (</w:t>
      </w:r>
      <w:r w:rsidRPr="00D80068">
        <w:rPr>
          <w:rFonts w:cs="Arial"/>
          <w:i/>
          <w:sz w:val="20"/>
          <w:lang w:val="en-AU" w:eastAsia="en-AU" w:bidi="ar-SA"/>
        </w:rPr>
        <w:t>Proposal P1037 – Amendments associated with Health and Nutrition Claims</w:t>
      </w:r>
      <w:r w:rsidRPr="00D80068">
        <w:rPr>
          <w:rFonts w:cs="Arial"/>
          <w:i/>
          <w:sz w:val="20"/>
          <w:szCs w:val="20"/>
          <w:lang w:val="en-AU" w:eastAsia="en-AU" w:bidi="ar-SA"/>
        </w:rPr>
        <w:t>).</w:t>
      </w:r>
    </w:p>
    <w:p w14:paraId="7BA266C2" w14:textId="77777777" w:rsidR="00023102" w:rsidRPr="00D80068" w:rsidRDefault="00023102" w:rsidP="00023102">
      <w:pPr>
        <w:keepLines/>
        <w:widowControl/>
        <w:jc w:val="both"/>
        <w:rPr>
          <w:rFonts w:cs="Arial"/>
          <w:sz w:val="20"/>
          <w:szCs w:val="20"/>
          <w:lang w:val="en-AU" w:eastAsia="en-AU" w:bidi="ar-SA"/>
        </w:rPr>
      </w:pPr>
    </w:p>
    <w:p w14:paraId="204D0C60" w14:textId="77777777" w:rsidR="00023102" w:rsidRDefault="00023102" w:rsidP="00023102">
      <w:pPr>
        <w:keepNext/>
        <w:keepLines/>
        <w:widowControl/>
        <w:ind w:left="851" w:hanging="851"/>
        <w:rPr>
          <w:rFonts w:cs="Arial"/>
          <w:b/>
          <w:sz w:val="20"/>
          <w:szCs w:val="20"/>
          <w:lang w:val="en-AU" w:eastAsia="en-AU" w:bidi="ar-SA"/>
        </w:rPr>
      </w:pPr>
      <w:r w:rsidRPr="00D80068">
        <w:rPr>
          <w:rFonts w:cs="Arial"/>
          <w:b/>
          <w:sz w:val="20"/>
          <w:szCs w:val="20"/>
          <w:lang w:val="en-AU" w:eastAsia="en-AU" w:bidi="ar-SA"/>
        </w:rPr>
        <w:t>2</w:t>
      </w:r>
      <w:r w:rsidRPr="00D80068">
        <w:rPr>
          <w:rFonts w:cs="Arial"/>
          <w:b/>
          <w:sz w:val="20"/>
          <w:szCs w:val="20"/>
          <w:lang w:val="en-AU" w:eastAsia="en-AU" w:bidi="ar-SA"/>
        </w:rPr>
        <w:tab/>
        <w:t>Commencement</w:t>
      </w:r>
    </w:p>
    <w:p w14:paraId="46E087EE" w14:textId="77777777" w:rsidR="00023102" w:rsidRPr="00D80068" w:rsidRDefault="00023102" w:rsidP="00023102">
      <w:pPr>
        <w:keepNext/>
        <w:keepLines/>
        <w:widowControl/>
        <w:ind w:left="851" w:hanging="851"/>
        <w:rPr>
          <w:rFonts w:cs="Arial"/>
          <w:b/>
          <w:sz w:val="20"/>
          <w:szCs w:val="20"/>
          <w:lang w:val="en-AU" w:eastAsia="en-AU" w:bidi="ar-SA"/>
        </w:rPr>
      </w:pPr>
    </w:p>
    <w:p w14:paraId="2ECB931F" w14:textId="77777777" w:rsidR="00023102" w:rsidRDefault="00023102" w:rsidP="007B0656">
      <w:pPr>
        <w:keepLines/>
        <w:widowControl/>
        <w:rPr>
          <w:rFonts w:cs="Arial"/>
          <w:sz w:val="20"/>
          <w:szCs w:val="20"/>
          <w:lang w:val="en-AU" w:eastAsia="en-AU" w:bidi="ar-SA"/>
        </w:rPr>
      </w:pPr>
      <w:r w:rsidRPr="00D80068">
        <w:rPr>
          <w:rFonts w:cs="Arial"/>
          <w:sz w:val="20"/>
          <w:szCs w:val="20"/>
          <w:lang w:val="en-AU" w:eastAsia="en-AU" w:bidi="ar-SA"/>
        </w:rPr>
        <w:tab/>
        <w:t>This instrument commences on 1 March 2016 immediately after the commencement of Standard 5.1.1 – Revocation and transitional provisions — 2014 Revision.</w:t>
      </w:r>
    </w:p>
    <w:p w14:paraId="52D7E80C" w14:textId="77777777" w:rsidR="00023102" w:rsidRPr="00D80068" w:rsidRDefault="00023102" w:rsidP="00023102">
      <w:pPr>
        <w:keepLines/>
        <w:widowControl/>
        <w:jc w:val="both"/>
        <w:rPr>
          <w:rFonts w:cs="Arial"/>
          <w:sz w:val="20"/>
          <w:szCs w:val="20"/>
          <w:lang w:val="en-AU" w:eastAsia="en-AU" w:bidi="ar-SA"/>
        </w:rPr>
      </w:pPr>
    </w:p>
    <w:p w14:paraId="3FEE01C1" w14:textId="77777777" w:rsidR="00023102" w:rsidRDefault="00023102" w:rsidP="00023102">
      <w:pPr>
        <w:keepNext/>
        <w:keepLines/>
        <w:widowControl/>
        <w:ind w:left="851" w:hanging="851"/>
        <w:rPr>
          <w:b/>
          <w:i/>
          <w:sz w:val="20"/>
          <w:szCs w:val="20"/>
          <w:lang w:val="en-AU" w:eastAsia="en-AU" w:bidi="ar-SA"/>
        </w:rPr>
      </w:pPr>
      <w:r w:rsidRPr="00D80068">
        <w:rPr>
          <w:rFonts w:cs="Arial"/>
          <w:b/>
          <w:sz w:val="20"/>
          <w:szCs w:val="20"/>
          <w:lang w:val="en-AU" w:eastAsia="en-AU" w:bidi="ar-SA"/>
        </w:rPr>
        <w:t>3</w:t>
      </w:r>
      <w:r w:rsidRPr="00D80068">
        <w:rPr>
          <w:rFonts w:cs="Arial"/>
          <w:b/>
          <w:sz w:val="20"/>
          <w:szCs w:val="20"/>
          <w:lang w:val="en-AU" w:eastAsia="en-AU" w:bidi="ar-SA"/>
        </w:rPr>
        <w:tab/>
        <w:t xml:space="preserve">Variation </w:t>
      </w:r>
      <w:r w:rsidRPr="00D80068">
        <w:rPr>
          <w:b/>
          <w:sz w:val="20"/>
          <w:szCs w:val="20"/>
          <w:lang w:val="en-AU" w:eastAsia="en-AU" w:bidi="ar-SA"/>
        </w:rPr>
        <w:t xml:space="preserve">to Standards in the </w:t>
      </w:r>
      <w:r w:rsidRPr="00D80068">
        <w:rPr>
          <w:b/>
          <w:i/>
          <w:sz w:val="20"/>
          <w:szCs w:val="20"/>
          <w:lang w:val="en-AU" w:eastAsia="en-AU" w:bidi="ar-SA"/>
        </w:rPr>
        <w:t>Australia New Zealand Food Standards Code</w:t>
      </w:r>
    </w:p>
    <w:p w14:paraId="28C62A72" w14:textId="77777777" w:rsidR="00023102" w:rsidRPr="00D80068" w:rsidRDefault="00023102" w:rsidP="00023102">
      <w:pPr>
        <w:keepNext/>
        <w:keepLines/>
        <w:widowControl/>
        <w:ind w:left="851" w:hanging="851"/>
        <w:rPr>
          <w:rFonts w:cs="Arial"/>
          <w:b/>
          <w:sz w:val="20"/>
          <w:szCs w:val="20"/>
          <w:lang w:val="en-AU" w:eastAsia="en-AU" w:bidi="ar-SA"/>
        </w:rPr>
      </w:pPr>
    </w:p>
    <w:p w14:paraId="55572F61" w14:textId="77777777" w:rsidR="00023102" w:rsidRDefault="00023102" w:rsidP="007B0656">
      <w:pPr>
        <w:keepLines/>
        <w:widowControl/>
        <w:rPr>
          <w:rFonts w:cs="Arial"/>
          <w:sz w:val="20"/>
          <w:szCs w:val="20"/>
          <w:lang w:val="en-AU" w:eastAsia="en-AU" w:bidi="ar-SA"/>
        </w:rPr>
      </w:pPr>
      <w:r w:rsidRPr="00D80068">
        <w:rPr>
          <w:rFonts w:cs="Arial"/>
          <w:sz w:val="20"/>
          <w:szCs w:val="20"/>
          <w:lang w:val="en-AU" w:eastAsia="en-AU" w:bidi="ar-SA"/>
        </w:rPr>
        <w:t xml:space="preserve">The Schedule varies Standards in the </w:t>
      </w:r>
      <w:r w:rsidRPr="00D80068">
        <w:rPr>
          <w:rFonts w:cs="Arial"/>
          <w:i/>
          <w:sz w:val="20"/>
          <w:szCs w:val="20"/>
          <w:lang w:val="en-AU" w:eastAsia="en-AU" w:bidi="ar-SA"/>
        </w:rPr>
        <w:t>Australia New Zealand Food Standards Code</w:t>
      </w:r>
      <w:r w:rsidRPr="00D80068">
        <w:rPr>
          <w:rFonts w:cs="Arial"/>
          <w:sz w:val="20"/>
          <w:szCs w:val="20"/>
          <w:lang w:val="en-AU" w:eastAsia="en-AU" w:bidi="ar-SA"/>
        </w:rPr>
        <w:t>.</w:t>
      </w:r>
    </w:p>
    <w:p w14:paraId="0CC17F86" w14:textId="77777777" w:rsidR="00023102" w:rsidRPr="00D80068" w:rsidRDefault="00023102" w:rsidP="00023102">
      <w:pPr>
        <w:keepLines/>
        <w:widowControl/>
        <w:jc w:val="both"/>
        <w:rPr>
          <w:rFonts w:cs="Arial"/>
          <w:sz w:val="20"/>
          <w:szCs w:val="20"/>
          <w:lang w:val="en-AU" w:eastAsia="en-AU" w:bidi="ar-SA"/>
        </w:rPr>
      </w:pPr>
    </w:p>
    <w:p w14:paraId="7645DEA4" w14:textId="77777777" w:rsidR="00023102" w:rsidRPr="00055DB1" w:rsidRDefault="00023102" w:rsidP="00023102">
      <w:pPr>
        <w:keepNext/>
        <w:keepLines/>
        <w:widowControl/>
        <w:ind w:left="2410" w:hanging="2410"/>
        <w:jc w:val="center"/>
        <w:rPr>
          <w:rFonts w:ascii="Arial Bold" w:hAnsi="Arial Bold" w:cs="Arial"/>
          <w:b/>
          <w:caps/>
          <w:color w:val="000000"/>
          <w:sz w:val="20"/>
          <w:szCs w:val="20"/>
          <w:lang w:val="en-AU" w:eastAsia="en-AU" w:bidi="ar-SA"/>
        </w:rPr>
      </w:pPr>
      <w:r w:rsidRPr="00055DB1">
        <w:rPr>
          <w:rFonts w:ascii="Arial Bold" w:hAnsi="Arial Bold" w:cs="Arial"/>
          <w:b/>
          <w:caps/>
          <w:color w:val="000000"/>
          <w:sz w:val="20"/>
          <w:szCs w:val="20"/>
          <w:lang w:val="en-AU" w:eastAsia="en-AU" w:bidi="ar-SA"/>
        </w:rPr>
        <w:t>Schedule</w:t>
      </w:r>
    </w:p>
    <w:p w14:paraId="717B24CC" w14:textId="77777777" w:rsidR="00023102" w:rsidRPr="00D80068" w:rsidRDefault="00023102" w:rsidP="00023102">
      <w:pPr>
        <w:rPr>
          <w:rFonts w:cs="Arial"/>
          <w:sz w:val="20"/>
          <w:szCs w:val="20"/>
          <w:lang w:val="en-AU" w:eastAsia="en-AU" w:bidi="ar-SA"/>
        </w:rPr>
      </w:pPr>
    </w:p>
    <w:p w14:paraId="1C3FA39E" w14:textId="77777777" w:rsidR="00023102" w:rsidRPr="00D80068" w:rsidRDefault="00023102" w:rsidP="00023102">
      <w:pPr>
        <w:tabs>
          <w:tab w:val="left" w:pos="851"/>
        </w:tabs>
        <w:rPr>
          <w:rFonts w:cs="Arial"/>
          <w:sz w:val="20"/>
          <w:szCs w:val="20"/>
        </w:rPr>
      </w:pPr>
      <w:r w:rsidRPr="00D80068">
        <w:rPr>
          <w:rFonts w:cs="Arial"/>
          <w:b/>
          <w:sz w:val="20"/>
          <w:szCs w:val="20"/>
        </w:rPr>
        <w:t>[1]</w:t>
      </w:r>
      <w:r w:rsidRPr="00D80068">
        <w:rPr>
          <w:rFonts w:cs="Arial"/>
          <w:b/>
          <w:sz w:val="20"/>
          <w:szCs w:val="20"/>
        </w:rPr>
        <w:tab/>
        <w:t>Standard 1.1.2</w:t>
      </w:r>
      <w:r w:rsidRPr="00D80068">
        <w:rPr>
          <w:rFonts w:cs="Arial"/>
          <w:sz w:val="20"/>
          <w:szCs w:val="20"/>
        </w:rPr>
        <w:t xml:space="preserve"> is varied by </w:t>
      </w:r>
    </w:p>
    <w:p w14:paraId="5074A177" w14:textId="77777777" w:rsidR="00023102" w:rsidRPr="00D80068" w:rsidRDefault="00023102" w:rsidP="00023102">
      <w:pPr>
        <w:rPr>
          <w:rFonts w:cs="Arial"/>
          <w:b/>
          <w:sz w:val="20"/>
          <w:szCs w:val="20"/>
          <w:lang w:val="en-AU" w:eastAsia="en-AU" w:bidi="ar-SA"/>
        </w:rPr>
      </w:pPr>
      <w:r w:rsidRPr="00D80068">
        <w:rPr>
          <w:rFonts w:cs="Arial"/>
          <w:b/>
          <w:sz w:val="20"/>
          <w:szCs w:val="20"/>
          <w:lang w:val="en-AU" w:eastAsia="en-AU" w:bidi="ar-SA"/>
        </w:rPr>
        <w:t xml:space="preserve"> </w:t>
      </w:r>
    </w:p>
    <w:p w14:paraId="25632D7F" w14:textId="77777777" w:rsidR="00023102" w:rsidRPr="00D80068" w:rsidRDefault="00023102" w:rsidP="00023102">
      <w:pPr>
        <w:tabs>
          <w:tab w:val="left" w:pos="851"/>
        </w:tabs>
        <w:rPr>
          <w:rFonts w:cs="Arial"/>
          <w:b/>
          <w:sz w:val="20"/>
          <w:szCs w:val="20"/>
          <w:lang w:val="en-AU" w:eastAsia="en-AU" w:bidi="ar-SA"/>
        </w:rPr>
      </w:pPr>
      <w:r w:rsidRPr="00D80068">
        <w:rPr>
          <w:rFonts w:cs="Arial"/>
          <w:sz w:val="20"/>
          <w:szCs w:val="20"/>
          <w:lang w:val="en-AU" w:eastAsia="en-AU" w:bidi="ar-SA"/>
        </w:rPr>
        <w:t>[1.1]</w:t>
      </w:r>
      <w:r w:rsidRPr="00D80068">
        <w:rPr>
          <w:rFonts w:cs="Arial"/>
          <w:b/>
          <w:sz w:val="20"/>
          <w:szCs w:val="20"/>
          <w:lang w:val="en-AU" w:eastAsia="en-AU" w:bidi="ar-SA"/>
        </w:rPr>
        <w:t xml:space="preserve"> </w:t>
      </w:r>
      <w:r w:rsidRPr="00D80068">
        <w:rPr>
          <w:rFonts w:cs="Arial"/>
          <w:b/>
          <w:sz w:val="20"/>
          <w:szCs w:val="20"/>
          <w:lang w:val="en-AU" w:eastAsia="en-AU" w:bidi="ar-SA"/>
        </w:rPr>
        <w:tab/>
      </w:r>
      <w:r w:rsidRPr="00D80068">
        <w:rPr>
          <w:rFonts w:cs="Arial"/>
          <w:sz w:val="20"/>
          <w:szCs w:val="20"/>
          <w:lang w:val="en-AU" w:eastAsia="en-AU" w:bidi="ar-SA"/>
        </w:rPr>
        <w:t>inserting after section 1.1.2</w:t>
      </w:r>
      <w:r w:rsidRPr="00D80068">
        <w:rPr>
          <w:rFonts w:cs="Arial"/>
          <w:sz w:val="20"/>
          <w:szCs w:val="20"/>
        </w:rPr>
        <w:t>—</w:t>
      </w:r>
      <w:r w:rsidRPr="00D80068">
        <w:rPr>
          <w:rFonts w:cs="Arial"/>
          <w:sz w:val="20"/>
          <w:szCs w:val="20"/>
          <w:lang w:val="en-AU" w:eastAsia="en-AU" w:bidi="ar-SA"/>
        </w:rPr>
        <w:t>14</w:t>
      </w:r>
    </w:p>
    <w:p w14:paraId="68D51DC0" w14:textId="77777777" w:rsidR="00023102" w:rsidRPr="00D80068" w:rsidRDefault="00023102" w:rsidP="00023102">
      <w:pPr>
        <w:keepNext/>
        <w:spacing w:before="240"/>
        <w:ind w:left="1701" w:hanging="1701"/>
        <w:outlineLvl w:val="4"/>
        <w:rPr>
          <w:rFonts w:cs="Arial"/>
          <w:b/>
          <w:bCs/>
          <w:kern w:val="32"/>
          <w:sz w:val="20"/>
          <w:szCs w:val="20"/>
          <w:lang w:eastAsia="en-AU" w:bidi="ar-SA"/>
        </w:rPr>
      </w:pPr>
      <w:bookmarkStart w:id="167" w:name="_Toc400031975"/>
      <w:r w:rsidRPr="00D80068">
        <w:rPr>
          <w:rFonts w:cs="Arial"/>
          <w:bCs/>
          <w:kern w:val="32"/>
          <w:sz w:val="20"/>
          <w:szCs w:val="20"/>
          <w:lang w:eastAsia="en-AU" w:bidi="ar-SA"/>
        </w:rPr>
        <w:t>“</w:t>
      </w:r>
      <w:r w:rsidRPr="00D80068">
        <w:rPr>
          <w:rFonts w:cs="Arial"/>
          <w:b/>
          <w:bCs/>
          <w:kern w:val="32"/>
          <w:sz w:val="20"/>
          <w:szCs w:val="20"/>
          <w:lang w:eastAsia="en-AU" w:bidi="ar-SA"/>
        </w:rPr>
        <w:t>1.1.2—15</w:t>
      </w:r>
      <w:r w:rsidRPr="00D80068">
        <w:rPr>
          <w:rFonts w:cs="Arial"/>
          <w:b/>
          <w:bCs/>
          <w:kern w:val="32"/>
          <w:sz w:val="20"/>
          <w:szCs w:val="20"/>
          <w:lang w:eastAsia="en-AU" w:bidi="ar-SA"/>
        </w:rPr>
        <w:tab/>
      </w:r>
      <w:bookmarkEnd w:id="167"/>
      <w:r w:rsidRPr="00D80068">
        <w:rPr>
          <w:rFonts w:cs="Arial"/>
          <w:b/>
          <w:bCs/>
          <w:kern w:val="32"/>
          <w:sz w:val="20"/>
          <w:szCs w:val="20"/>
          <w:lang w:eastAsia="en-AU" w:bidi="ar-SA"/>
        </w:rPr>
        <w:t>Definition of Permitted Health Star Rating symbol</w:t>
      </w:r>
    </w:p>
    <w:p w14:paraId="52E34CEE" w14:textId="77777777" w:rsidR="00023102" w:rsidRPr="00D80068" w:rsidRDefault="00023102" w:rsidP="00023102">
      <w:pPr>
        <w:pStyle w:val="FSCtMain"/>
      </w:pPr>
      <w:r w:rsidRPr="00D80068">
        <w:tab/>
        <w:t>(1)</w:t>
      </w:r>
      <w:r w:rsidRPr="00D80068">
        <w:tab/>
        <w:t xml:space="preserve">In this Code, </w:t>
      </w:r>
      <w:r w:rsidRPr="00D80068">
        <w:rPr>
          <w:b/>
          <w:i/>
        </w:rPr>
        <w:t>Permitted</w:t>
      </w:r>
      <w:r w:rsidRPr="00D80068">
        <w:rPr>
          <w:rFonts w:eastAsia="Calibri"/>
          <w:b/>
          <w:i/>
        </w:rPr>
        <w:t xml:space="preserve"> Health Star Rating </w:t>
      </w:r>
      <w:r w:rsidRPr="00D80068">
        <w:rPr>
          <w:b/>
          <w:i/>
        </w:rPr>
        <w:t>symbol</w:t>
      </w:r>
      <w:r w:rsidRPr="00D80068">
        <w:t xml:space="preserve"> means an image subject to Australian Trade Marks numbered 1641445, 1641446 or 1641447.</w:t>
      </w:r>
    </w:p>
    <w:p w14:paraId="750B1BCD" w14:textId="77777777" w:rsidR="00023102" w:rsidRPr="00D80068" w:rsidRDefault="00023102" w:rsidP="00023102">
      <w:pPr>
        <w:pStyle w:val="FSCtMain"/>
        <w:rPr>
          <w:b/>
        </w:rPr>
      </w:pPr>
      <w:r w:rsidRPr="00D80068">
        <w:tab/>
        <w:t>(2)</w:t>
      </w:r>
      <w:r w:rsidRPr="00D80068">
        <w:tab/>
        <w:t xml:space="preserve">To avoid doubt, an image mentioned in subsection (1) does not cease to be a Permitted </w:t>
      </w:r>
      <w:r w:rsidRPr="00D80068">
        <w:rPr>
          <w:rFonts w:eastAsia="Calibri"/>
        </w:rPr>
        <w:t xml:space="preserve">Health Star Rating </w:t>
      </w:r>
      <w:r w:rsidRPr="00D80068">
        <w:t xml:space="preserve">symbol </w:t>
      </w:r>
      <w:r w:rsidRPr="00D80068">
        <w:rPr>
          <w:noProof/>
        </w:rPr>
        <w:t xml:space="preserve">by </w:t>
      </w:r>
      <w:r w:rsidRPr="00D80068">
        <w:t>reason only of the image indicating</w:t>
      </w:r>
      <w:r>
        <w:t>:</w:t>
      </w:r>
    </w:p>
    <w:p w14:paraId="46368367" w14:textId="77777777" w:rsidR="00023102" w:rsidRDefault="00023102" w:rsidP="00023102">
      <w:pPr>
        <w:pStyle w:val="FSCtPara"/>
      </w:pPr>
      <w:bookmarkStart w:id="168" w:name="_Ref343089327"/>
      <w:r w:rsidRPr="00BD6A2F">
        <w:rPr>
          <w:lang w:val="en-GB"/>
        </w:rPr>
        <w:tab/>
        <w:t>(</w:t>
      </w:r>
      <w:r>
        <w:rPr>
          <w:lang w:val="en-GB"/>
        </w:rPr>
        <w:t>a</w:t>
      </w:r>
      <w:r w:rsidRPr="00BD6A2F">
        <w:rPr>
          <w:lang w:val="en-GB"/>
        </w:rPr>
        <w:t>)</w:t>
      </w:r>
      <w:r w:rsidRPr="00BD6A2F">
        <w:rPr>
          <w:lang w:val="en-GB"/>
        </w:rPr>
        <w:tab/>
      </w:r>
      <w:bookmarkEnd w:id="168"/>
      <w:r w:rsidRPr="00D80068">
        <w:t>energy or nutrient content on a per 100 g, per 100 ml or per pack basis; or</w:t>
      </w:r>
    </w:p>
    <w:p w14:paraId="345BF0E4" w14:textId="77777777" w:rsidR="00023102" w:rsidRDefault="00023102" w:rsidP="00023102">
      <w:pPr>
        <w:pStyle w:val="FSCtPara"/>
      </w:pPr>
      <w:r>
        <w:tab/>
        <w:t>(b)</w:t>
      </w:r>
      <w:r>
        <w:tab/>
      </w:r>
      <w:r w:rsidRPr="00D80068">
        <w:t>energy or nutrient content at zero or amounts greater than zero; or</w:t>
      </w:r>
    </w:p>
    <w:p w14:paraId="463538F0" w14:textId="77777777" w:rsidR="00023102" w:rsidRPr="00BD6A2F" w:rsidRDefault="00023102" w:rsidP="00023102">
      <w:pPr>
        <w:pStyle w:val="FSCtPara"/>
        <w:rPr>
          <w:lang w:val="en-GB"/>
        </w:rPr>
      </w:pPr>
      <w:r>
        <w:tab/>
        <w:t>(c)</w:t>
      </w:r>
      <w:r>
        <w:tab/>
      </w:r>
      <w:r w:rsidRPr="00D80068">
        <w:t>energy content on a percentage daily intake basis in addition to an amount shown in kilojoules.”</w:t>
      </w:r>
    </w:p>
    <w:p w14:paraId="02D62E6D" w14:textId="77777777" w:rsidR="00023102" w:rsidRPr="00D80068" w:rsidRDefault="00023102" w:rsidP="00023102">
      <w:pPr>
        <w:rPr>
          <w:rFonts w:cs="Arial"/>
          <w:iCs/>
          <w:sz w:val="20"/>
          <w:szCs w:val="20"/>
        </w:rPr>
      </w:pPr>
    </w:p>
    <w:p w14:paraId="6DBFB9E7" w14:textId="2B698929" w:rsidR="00023102" w:rsidRPr="00D80068" w:rsidRDefault="00023102" w:rsidP="00023102">
      <w:pPr>
        <w:tabs>
          <w:tab w:val="left" w:pos="851"/>
        </w:tabs>
        <w:rPr>
          <w:rFonts w:eastAsia="Calibri" w:cs="Arial"/>
          <w:sz w:val="20"/>
          <w:szCs w:val="20"/>
        </w:rPr>
      </w:pPr>
      <w:r w:rsidRPr="00D80068">
        <w:rPr>
          <w:rFonts w:cs="Arial"/>
          <w:b/>
          <w:sz w:val="20"/>
          <w:szCs w:val="20"/>
        </w:rPr>
        <w:t>[2]</w:t>
      </w:r>
      <w:r w:rsidRPr="00D80068">
        <w:rPr>
          <w:rFonts w:cs="Arial"/>
          <w:b/>
          <w:sz w:val="20"/>
          <w:szCs w:val="20"/>
        </w:rPr>
        <w:tab/>
        <w:t>Standard 1.2.7</w:t>
      </w:r>
      <w:r w:rsidRPr="00D80068">
        <w:rPr>
          <w:rFonts w:cs="Arial"/>
          <w:sz w:val="20"/>
          <w:szCs w:val="20"/>
        </w:rPr>
        <w:t xml:space="preserve"> is varied by </w:t>
      </w:r>
      <w:r w:rsidRPr="00D80068">
        <w:rPr>
          <w:rFonts w:cs="Arial"/>
          <w:iCs/>
          <w:sz w:val="20"/>
          <w:szCs w:val="20"/>
        </w:rPr>
        <w:t xml:space="preserve">omitting paragraph </w:t>
      </w:r>
      <w:r w:rsidRPr="00D80068">
        <w:rPr>
          <w:rFonts w:cs="Arial"/>
          <w:sz w:val="20"/>
          <w:szCs w:val="20"/>
        </w:rPr>
        <w:t>1.2.7—6</w:t>
      </w:r>
      <w:r w:rsidRPr="00D80068">
        <w:rPr>
          <w:rFonts w:cs="Arial"/>
          <w:iCs/>
          <w:sz w:val="20"/>
          <w:szCs w:val="20"/>
        </w:rPr>
        <w:t xml:space="preserve"> (c)</w:t>
      </w:r>
      <w:r>
        <w:rPr>
          <w:rFonts w:cs="Arial"/>
          <w:iCs/>
          <w:sz w:val="20"/>
          <w:szCs w:val="20"/>
        </w:rPr>
        <w:t xml:space="preserve"> and</w:t>
      </w:r>
      <w:r w:rsidRPr="00D80068">
        <w:rPr>
          <w:rFonts w:cs="Arial"/>
          <w:iCs/>
          <w:sz w:val="20"/>
          <w:szCs w:val="20"/>
        </w:rPr>
        <w:t xml:space="preserve"> substituting</w:t>
      </w:r>
    </w:p>
    <w:p w14:paraId="6F4BB67F" w14:textId="77777777" w:rsidR="00023102" w:rsidRDefault="00023102" w:rsidP="00023102">
      <w:pPr>
        <w:pStyle w:val="FSCtPara"/>
        <w:rPr>
          <w:rFonts w:eastAsia="Calibri"/>
          <w:szCs w:val="20"/>
        </w:rPr>
      </w:pPr>
      <w:r>
        <w:tab/>
        <w:t>“(c)</w:t>
      </w:r>
      <w:r>
        <w:tab/>
      </w:r>
      <w:r w:rsidRPr="00D80068">
        <w:rPr>
          <w:rFonts w:eastAsia="Calibri"/>
          <w:szCs w:val="20"/>
        </w:rPr>
        <w:t>a declaration that is required by an application Act; or</w:t>
      </w:r>
    </w:p>
    <w:p w14:paraId="46A52657" w14:textId="77777777" w:rsidR="00023102" w:rsidRPr="00BD6A2F" w:rsidRDefault="00023102" w:rsidP="00023102">
      <w:pPr>
        <w:pStyle w:val="FSCtPara"/>
        <w:rPr>
          <w:lang w:val="en-GB"/>
        </w:rPr>
      </w:pPr>
      <w:r>
        <w:rPr>
          <w:rFonts w:eastAsia="Calibri"/>
          <w:szCs w:val="20"/>
        </w:rPr>
        <w:tab/>
        <w:t>(d)</w:t>
      </w:r>
      <w:r>
        <w:rPr>
          <w:rFonts w:eastAsia="Calibri"/>
          <w:szCs w:val="20"/>
        </w:rPr>
        <w:tab/>
      </w:r>
      <w:r w:rsidRPr="00D80068">
        <w:rPr>
          <w:rFonts w:eastAsia="Calibri"/>
          <w:szCs w:val="20"/>
        </w:rPr>
        <w:t>a permitted Health Star Rating symbol</w:t>
      </w:r>
      <w:r w:rsidRPr="00D80068">
        <w:rPr>
          <w:szCs w:val="20"/>
        </w:rPr>
        <w:t>.</w:t>
      </w:r>
      <w:r w:rsidRPr="00D80068">
        <w:t>”</w:t>
      </w:r>
    </w:p>
    <w:p w14:paraId="48BCA95A" w14:textId="77777777" w:rsidR="00023102" w:rsidRPr="00D80068" w:rsidRDefault="00023102" w:rsidP="00023102">
      <w:pPr>
        <w:rPr>
          <w:rFonts w:cs="Arial"/>
          <w:sz w:val="20"/>
          <w:szCs w:val="20"/>
        </w:rPr>
      </w:pPr>
    </w:p>
    <w:p w14:paraId="08B9C20F" w14:textId="77777777" w:rsidR="00023102" w:rsidRPr="00D80068" w:rsidRDefault="00023102" w:rsidP="00023102">
      <w:pPr>
        <w:tabs>
          <w:tab w:val="left" w:pos="851"/>
        </w:tabs>
        <w:rPr>
          <w:rFonts w:cs="Arial"/>
          <w:sz w:val="20"/>
          <w:szCs w:val="20"/>
        </w:rPr>
      </w:pPr>
      <w:r w:rsidRPr="00D80068">
        <w:rPr>
          <w:rFonts w:cs="Arial"/>
          <w:b/>
          <w:sz w:val="20"/>
          <w:szCs w:val="20"/>
        </w:rPr>
        <w:t>[3]</w:t>
      </w:r>
      <w:r w:rsidRPr="00D80068">
        <w:rPr>
          <w:rFonts w:cs="Arial"/>
          <w:b/>
          <w:sz w:val="20"/>
          <w:szCs w:val="20"/>
        </w:rPr>
        <w:tab/>
        <w:t>Standard 1.2.8</w:t>
      </w:r>
      <w:r w:rsidRPr="00D80068">
        <w:rPr>
          <w:rFonts w:cs="Arial"/>
          <w:sz w:val="20"/>
          <w:szCs w:val="20"/>
        </w:rPr>
        <w:t xml:space="preserve"> is varied by </w:t>
      </w:r>
    </w:p>
    <w:p w14:paraId="59565D30" w14:textId="77777777" w:rsidR="00023102" w:rsidRPr="00D80068" w:rsidRDefault="00023102" w:rsidP="00023102">
      <w:pPr>
        <w:rPr>
          <w:rFonts w:cs="Arial"/>
          <w:sz w:val="20"/>
          <w:szCs w:val="20"/>
        </w:rPr>
      </w:pPr>
    </w:p>
    <w:p w14:paraId="6141ECED" w14:textId="77777777" w:rsidR="00023102" w:rsidRPr="00D80068" w:rsidRDefault="00023102" w:rsidP="00023102">
      <w:pPr>
        <w:tabs>
          <w:tab w:val="left" w:pos="851"/>
        </w:tabs>
        <w:rPr>
          <w:rFonts w:cs="Arial"/>
          <w:iCs/>
          <w:sz w:val="20"/>
          <w:szCs w:val="20"/>
        </w:rPr>
      </w:pPr>
      <w:r w:rsidRPr="00D80068">
        <w:rPr>
          <w:rFonts w:cs="Arial"/>
          <w:sz w:val="20"/>
          <w:szCs w:val="20"/>
        </w:rPr>
        <w:t>[3.1]</w:t>
      </w:r>
      <w:r w:rsidRPr="00D80068">
        <w:rPr>
          <w:rFonts w:cs="Arial"/>
          <w:sz w:val="20"/>
          <w:szCs w:val="20"/>
        </w:rPr>
        <w:tab/>
      </w:r>
      <w:r w:rsidRPr="00D80068">
        <w:rPr>
          <w:rFonts w:cs="Arial"/>
          <w:iCs/>
          <w:sz w:val="20"/>
          <w:szCs w:val="20"/>
        </w:rPr>
        <w:t>omitting “infant formula products” from section 1.2.8—3</w:t>
      </w:r>
      <w:r>
        <w:rPr>
          <w:rFonts w:cs="Arial"/>
          <w:iCs/>
          <w:sz w:val="20"/>
          <w:szCs w:val="20"/>
        </w:rPr>
        <w:t xml:space="preserve"> and</w:t>
      </w:r>
      <w:r w:rsidRPr="00D80068">
        <w:rPr>
          <w:rFonts w:cs="Arial"/>
          <w:iCs/>
          <w:sz w:val="20"/>
          <w:szCs w:val="20"/>
        </w:rPr>
        <w:t xml:space="preserve"> substituting “infant formula products or </w:t>
      </w:r>
      <w:r w:rsidRPr="00D80068">
        <w:rPr>
          <w:rFonts w:eastAsia="Calibri" w:cs="Arial"/>
          <w:sz w:val="20"/>
          <w:szCs w:val="20"/>
        </w:rPr>
        <w:t>a Permitted Health Star Rating symbol.”</w:t>
      </w:r>
    </w:p>
    <w:p w14:paraId="392B2EEB" w14:textId="77777777" w:rsidR="00023102" w:rsidRPr="00D80068" w:rsidRDefault="00023102" w:rsidP="00023102">
      <w:pPr>
        <w:rPr>
          <w:rFonts w:cs="Arial"/>
          <w:b/>
          <w:sz w:val="20"/>
          <w:szCs w:val="20"/>
          <w:lang w:val="en-AU" w:eastAsia="en-AU" w:bidi="ar-SA"/>
        </w:rPr>
      </w:pPr>
    </w:p>
    <w:p w14:paraId="48B3B9A6" w14:textId="188D2F87" w:rsidR="00023102" w:rsidRPr="00D80068" w:rsidRDefault="00023102" w:rsidP="00023102">
      <w:pPr>
        <w:tabs>
          <w:tab w:val="left" w:pos="851"/>
        </w:tabs>
        <w:rPr>
          <w:rFonts w:cs="Arial"/>
          <w:sz w:val="20"/>
          <w:szCs w:val="20"/>
        </w:rPr>
      </w:pPr>
      <w:r w:rsidRPr="00D80068">
        <w:rPr>
          <w:rFonts w:cs="Arial"/>
          <w:sz w:val="20"/>
          <w:szCs w:val="20"/>
        </w:rPr>
        <w:t>[3.2]</w:t>
      </w:r>
      <w:r w:rsidRPr="00D80068">
        <w:rPr>
          <w:rFonts w:cs="Arial"/>
          <w:sz w:val="20"/>
          <w:szCs w:val="20"/>
        </w:rPr>
        <w:tab/>
        <w:t>inserting after section 1.2.8—6(10)</w:t>
      </w:r>
    </w:p>
    <w:p w14:paraId="31E5EBB3" w14:textId="77777777" w:rsidR="00023102" w:rsidRPr="00D80068" w:rsidRDefault="00023102" w:rsidP="00023102">
      <w:pPr>
        <w:pStyle w:val="FSCh6Subsec"/>
      </w:pPr>
      <w:r w:rsidRPr="00D80068">
        <w:t>“Claims about lactose</w:t>
      </w:r>
    </w:p>
    <w:p w14:paraId="5C8FF610" w14:textId="77777777" w:rsidR="00023102" w:rsidRPr="00D80068" w:rsidRDefault="00023102" w:rsidP="00023102">
      <w:pPr>
        <w:pStyle w:val="FSCtMain"/>
      </w:pPr>
      <w:r>
        <w:tab/>
      </w:r>
      <w:r w:rsidRPr="00D80068">
        <w:t>(11)</w:t>
      </w:r>
      <w:r w:rsidRPr="00D80068">
        <w:tab/>
        <w:t>If a *claim requiring nutrition information is made in relation to lactose, a nutrition information panel must include a declaration of the average quantity of galactose in accordance with section S12—3.</w:t>
      </w:r>
    </w:p>
    <w:p w14:paraId="19DF9AF5" w14:textId="77777777" w:rsidR="00023102" w:rsidRPr="00D80068" w:rsidRDefault="00023102" w:rsidP="00023102">
      <w:pPr>
        <w:pStyle w:val="FSCh6Subsec"/>
      </w:pPr>
      <w:r w:rsidRPr="00D80068">
        <w:t xml:space="preserve">Claims about salt or sodium </w:t>
      </w:r>
    </w:p>
    <w:p w14:paraId="324865FF" w14:textId="77777777" w:rsidR="00023102" w:rsidRPr="00D80068" w:rsidRDefault="00023102" w:rsidP="00023102">
      <w:pPr>
        <w:pStyle w:val="FSCtMain"/>
      </w:pPr>
      <w:r>
        <w:tab/>
      </w:r>
      <w:r w:rsidRPr="00D80068">
        <w:t>(12)</w:t>
      </w:r>
      <w:r w:rsidRPr="00D80068">
        <w:tab/>
        <w:t>If a *claim requiring nutrition information is made in relation to salt or sodium, the nutrition information panel must include a declaration of the average quantity of potassium in accordance with section S12—3</w:t>
      </w:r>
      <w:r>
        <w:t>.</w:t>
      </w:r>
    </w:p>
    <w:p w14:paraId="1E7DBBEF" w14:textId="77777777" w:rsidR="00023102" w:rsidRPr="00D80068" w:rsidRDefault="00023102" w:rsidP="00023102">
      <w:pPr>
        <w:pStyle w:val="FSCh6Subsec"/>
      </w:pPr>
      <w:r w:rsidRPr="00D80068">
        <w:t>Claims about omega-3 fatty acids</w:t>
      </w:r>
    </w:p>
    <w:p w14:paraId="589F8090" w14:textId="77777777" w:rsidR="00023102" w:rsidRPr="00D80068" w:rsidRDefault="00023102" w:rsidP="00023102">
      <w:pPr>
        <w:pStyle w:val="FSCtMain"/>
      </w:pPr>
      <w:r>
        <w:tab/>
      </w:r>
      <w:r w:rsidRPr="00D80068">
        <w:t>(13)</w:t>
      </w:r>
      <w:r w:rsidRPr="00D80068">
        <w:tab/>
        <w:t>If a *claim requiring nutrition information is made in relation to omega-3 fatty acids, the nutrition information panel must include declarations of each of the following in accordance with section S12—3</w:t>
      </w:r>
      <w:r>
        <w:t>:</w:t>
      </w:r>
    </w:p>
    <w:p w14:paraId="7A13EBC0" w14:textId="77777777" w:rsidR="00023102" w:rsidRDefault="00023102" w:rsidP="00023102">
      <w:pPr>
        <w:pStyle w:val="FSCtPara"/>
        <w:rPr>
          <w:szCs w:val="20"/>
        </w:rPr>
      </w:pPr>
      <w:r>
        <w:rPr>
          <w:szCs w:val="20"/>
        </w:rPr>
        <w:br w:type="page"/>
      </w:r>
    </w:p>
    <w:p w14:paraId="694823FA" w14:textId="77777777" w:rsidR="00023102" w:rsidRDefault="00023102" w:rsidP="00023102">
      <w:pPr>
        <w:pStyle w:val="FSCtPara"/>
      </w:pPr>
      <w:r>
        <w:rPr>
          <w:szCs w:val="20"/>
        </w:rPr>
        <w:lastRenderedPageBreak/>
        <w:tab/>
        <w:t>(a)</w:t>
      </w:r>
      <w:r>
        <w:rPr>
          <w:szCs w:val="20"/>
        </w:rPr>
        <w:tab/>
      </w:r>
      <w:r w:rsidRPr="00D80068">
        <w:t>the average quantity of each type of omega-3 fatty acids (</w:t>
      </w:r>
      <w:r w:rsidRPr="00D80068">
        <w:rPr>
          <w:rFonts w:eastAsia="Calibri"/>
        </w:rPr>
        <w:t>that is, alpha</w:t>
      </w:r>
      <w:r w:rsidRPr="00D80068">
        <w:rPr>
          <w:rFonts w:eastAsia="Calibri"/>
        </w:rPr>
        <w:noBreakHyphen/>
        <w:t xml:space="preserve">linolenic acid, docosahexaenoic acid, eicosapentaenoic acid or a combination of these); </w:t>
      </w:r>
      <w:r w:rsidRPr="00D80068">
        <w:t>and</w:t>
      </w:r>
    </w:p>
    <w:p w14:paraId="0F9917FF" w14:textId="77777777" w:rsidR="00023102" w:rsidRPr="00D80068" w:rsidRDefault="00023102" w:rsidP="00023102">
      <w:pPr>
        <w:pStyle w:val="FSCtPara"/>
      </w:pPr>
      <w:r>
        <w:tab/>
        <w:t>(b)</w:t>
      </w:r>
      <w:r>
        <w:tab/>
      </w:r>
      <w:r w:rsidRPr="00D80068">
        <w:t>the average quantity of the total of omega-3 fatty acids.”</w:t>
      </w:r>
    </w:p>
    <w:p w14:paraId="7F3A53DF" w14:textId="77777777" w:rsidR="00023102" w:rsidRPr="00D80068" w:rsidRDefault="00023102" w:rsidP="00023102">
      <w:pPr>
        <w:rPr>
          <w:rFonts w:cs="Arial"/>
          <w:sz w:val="20"/>
          <w:szCs w:val="20"/>
        </w:rPr>
      </w:pPr>
    </w:p>
    <w:p w14:paraId="7BB081BA" w14:textId="77777777" w:rsidR="00023102" w:rsidRPr="00D80068" w:rsidRDefault="00023102" w:rsidP="00023102">
      <w:pPr>
        <w:tabs>
          <w:tab w:val="left" w:pos="851"/>
        </w:tabs>
        <w:rPr>
          <w:rFonts w:cs="Arial"/>
          <w:sz w:val="20"/>
          <w:szCs w:val="20"/>
        </w:rPr>
      </w:pPr>
      <w:r w:rsidRPr="00D80068">
        <w:rPr>
          <w:rFonts w:cs="Arial"/>
          <w:sz w:val="20"/>
          <w:szCs w:val="20"/>
        </w:rPr>
        <w:t>[3.3]</w:t>
      </w:r>
      <w:r w:rsidRPr="00D80068">
        <w:rPr>
          <w:rFonts w:cs="Arial"/>
          <w:sz w:val="20"/>
          <w:szCs w:val="20"/>
        </w:rPr>
        <w:tab/>
        <w:t>omitting section 1.2.8</w:t>
      </w:r>
      <w:r w:rsidRPr="00D80068">
        <w:t>—</w:t>
      </w:r>
      <w:r w:rsidRPr="00D80068">
        <w:rPr>
          <w:rFonts w:cs="Arial"/>
          <w:sz w:val="20"/>
          <w:szCs w:val="20"/>
        </w:rPr>
        <w:t>10</w:t>
      </w:r>
      <w:r>
        <w:rPr>
          <w:rFonts w:cs="Arial"/>
          <w:sz w:val="20"/>
          <w:szCs w:val="20"/>
        </w:rPr>
        <w:t xml:space="preserve"> and</w:t>
      </w:r>
      <w:r w:rsidRPr="00D80068">
        <w:rPr>
          <w:rFonts w:cs="Arial"/>
          <w:sz w:val="20"/>
          <w:szCs w:val="20"/>
        </w:rPr>
        <w:t xml:space="preserve"> substituting</w:t>
      </w:r>
    </w:p>
    <w:p w14:paraId="3D6DB62E" w14:textId="77777777" w:rsidR="00023102" w:rsidRPr="00D80068" w:rsidRDefault="00023102" w:rsidP="00023102">
      <w:pPr>
        <w:keepNext/>
        <w:spacing w:before="240" w:after="120"/>
        <w:ind w:left="1701" w:hanging="1701"/>
        <w:outlineLvl w:val="4"/>
        <w:rPr>
          <w:b/>
          <w:bCs/>
          <w:kern w:val="32"/>
          <w:lang w:eastAsia="en-AU" w:bidi="ar-SA"/>
        </w:rPr>
      </w:pPr>
      <w:r w:rsidRPr="00D80068">
        <w:rPr>
          <w:bCs/>
          <w:kern w:val="32"/>
          <w:lang w:eastAsia="en-AU" w:bidi="ar-SA"/>
        </w:rPr>
        <w:t>“</w:t>
      </w:r>
      <w:r w:rsidRPr="00D80068">
        <w:rPr>
          <w:b/>
          <w:bCs/>
          <w:kern w:val="32"/>
          <w:lang w:eastAsia="en-AU" w:bidi="ar-SA"/>
        </w:rPr>
        <w:t>1.2.8—10</w:t>
      </w:r>
      <w:r w:rsidRPr="00D80068">
        <w:rPr>
          <w:b/>
          <w:bCs/>
          <w:kern w:val="32"/>
          <w:lang w:eastAsia="en-AU" w:bidi="ar-SA"/>
        </w:rPr>
        <w:tab/>
        <w:t>Information referred to in sections 1.2.8—8 and 1.2.8—9 may be presented outside nutrition information panel</w:t>
      </w:r>
    </w:p>
    <w:p w14:paraId="5887983D" w14:textId="4E5F3B48" w:rsidR="00291BF4" w:rsidRDefault="00023102" w:rsidP="00023102">
      <w:pPr>
        <w:pStyle w:val="FSCtPara"/>
      </w:pPr>
      <w:r w:rsidRPr="00D80068">
        <w:tab/>
        <w:t>(1)</w:t>
      </w:r>
      <w:r w:rsidRPr="00D80068">
        <w:tab/>
        <w:t>If a nutrition information panel includes the percentage daily intake of dietary fibre per serving in accordance with subsection 1.2.8—8(2), the following information may also be presented outside the nutrition information panel:</w:t>
      </w:r>
    </w:p>
    <w:p w14:paraId="34F2D50F" w14:textId="64E84C07" w:rsidR="00023102" w:rsidRPr="00D80068" w:rsidRDefault="00023102" w:rsidP="00023102">
      <w:pPr>
        <w:pStyle w:val="FSCtPara"/>
      </w:pPr>
      <w:r>
        <w:tab/>
        <w:t>(a)</w:t>
      </w:r>
      <w:r>
        <w:tab/>
      </w:r>
      <w:r w:rsidRPr="00D80068">
        <w:t>the percentage daily intake of energy per serving; or</w:t>
      </w:r>
    </w:p>
    <w:p w14:paraId="62E46BD3" w14:textId="77777777" w:rsidR="00023102" w:rsidRPr="00D80068" w:rsidRDefault="00023102" w:rsidP="00023102">
      <w:pPr>
        <w:pStyle w:val="FSCtPara"/>
      </w:pPr>
      <w:r>
        <w:tab/>
        <w:t>(b)</w:t>
      </w:r>
      <w:r>
        <w:tab/>
      </w:r>
      <w:r w:rsidRPr="00D80068">
        <w:t>the percentage daily intake of all of dietary fibre, energy, fat, saturated fatty acids, carbohydrate, sugars, protein and sodium per serving.</w:t>
      </w:r>
    </w:p>
    <w:p w14:paraId="70097383" w14:textId="77777777" w:rsidR="00023102" w:rsidRPr="00D80068" w:rsidRDefault="00023102" w:rsidP="00023102">
      <w:pPr>
        <w:pStyle w:val="FSCtMain"/>
      </w:pPr>
      <w:r w:rsidRPr="00D80068">
        <w:tab/>
        <w:t>(2)</w:t>
      </w:r>
      <w:r w:rsidRPr="00D80068">
        <w:tab/>
        <w:t>If a nutrition information panel includes the percentage daily intake information required by subsection 1.2.8—8(3), the following information may also be presented outside the nutrition information panel:</w:t>
      </w:r>
    </w:p>
    <w:p w14:paraId="35A15E14" w14:textId="77777777" w:rsidR="00023102" w:rsidRPr="00D80068" w:rsidRDefault="00023102" w:rsidP="00023102">
      <w:pPr>
        <w:pStyle w:val="FSCtPara"/>
      </w:pPr>
      <w:r>
        <w:rPr>
          <w:szCs w:val="20"/>
        </w:rPr>
        <w:tab/>
        <w:t>(a)</w:t>
      </w:r>
      <w:r>
        <w:rPr>
          <w:szCs w:val="20"/>
        </w:rPr>
        <w:tab/>
      </w:r>
      <w:r w:rsidRPr="00D80068">
        <w:t>the percentage daily intake of energy per serving; or</w:t>
      </w:r>
    </w:p>
    <w:p w14:paraId="0AA2F7EA" w14:textId="77777777" w:rsidR="00023102" w:rsidRPr="00D80068" w:rsidRDefault="00023102" w:rsidP="00023102">
      <w:pPr>
        <w:pStyle w:val="FSCtPara"/>
      </w:pPr>
      <w:r>
        <w:tab/>
        <w:t>(b)</w:t>
      </w:r>
      <w:r>
        <w:tab/>
      </w:r>
      <w:r w:rsidRPr="00D80068">
        <w:t>the percentage daily intake of all of energy, fat, saturated fatty acids, carbohydrate, sugars, protein and sodium per serving.</w:t>
      </w:r>
    </w:p>
    <w:p w14:paraId="290D8CE6" w14:textId="77777777" w:rsidR="00023102" w:rsidRPr="00D80068" w:rsidRDefault="00023102" w:rsidP="00023102">
      <w:pPr>
        <w:pStyle w:val="FSCtMain"/>
      </w:pPr>
      <w:r w:rsidRPr="00D80068">
        <w:tab/>
        <w:t>(3)</w:t>
      </w:r>
      <w:r w:rsidRPr="00D80068">
        <w:tab/>
        <w:t>If a nutrition information panel includes the percentage recommended daily intake of a vitamin or mineral in accordance with section 1.2.8—9, that information may also be presented outside the nutrition information panel.</w:t>
      </w:r>
    </w:p>
    <w:p w14:paraId="07E31293" w14:textId="48889683" w:rsidR="00023102" w:rsidRPr="00D80068" w:rsidRDefault="00023102" w:rsidP="00023102">
      <w:pPr>
        <w:pStyle w:val="FSCtMain"/>
      </w:pPr>
      <w:r w:rsidRPr="00D80068">
        <w:tab/>
        <w:t>(4)</w:t>
      </w:r>
      <w:r w:rsidRPr="00D80068">
        <w:tab/>
        <w:t>Information may only be presented outside the nutrition information panel in accordance with this section if –</w:t>
      </w:r>
    </w:p>
    <w:p w14:paraId="2D4C3BAA" w14:textId="77777777" w:rsidR="00023102" w:rsidRPr="00D80068" w:rsidRDefault="00023102" w:rsidP="00023102">
      <w:pPr>
        <w:pStyle w:val="FSCtPara"/>
      </w:pPr>
      <w:r>
        <w:rPr>
          <w:szCs w:val="20"/>
        </w:rPr>
        <w:tab/>
      </w:r>
      <w:r w:rsidRPr="00D80068">
        <w:t>(a)</w:t>
      </w:r>
      <w:r w:rsidRPr="00D80068">
        <w:tab/>
        <w:t>the serving size is presented together with the information; and</w:t>
      </w:r>
    </w:p>
    <w:p w14:paraId="6099AD51" w14:textId="77777777" w:rsidR="00023102" w:rsidRPr="00D80068" w:rsidRDefault="00023102" w:rsidP="00023102">
      <w:pPr>
        <w:pStyle w:val="FSCtPara"/>
      </w:pPr>
      <w:r>
        <w:tab/>
        <w:t>(b)</w:t>
      </w:r>
      <w:r w:rsidRPr="00D80068">
        <w:tab/>
        <w:t>the food to which that information relates does not contain more than 1.15% alcohol by volume.</w:t>
      </w:r>
    </w:p>
    <w:p w14:paraId="029ADDFD" w14:textId="77777777" w:rsidR="00023102" w:rsidRPr="00D80068" w:rsidRDefault="00023102" w:rsidP="00023102">
      <w:pPr>
        <w:pStyle w:val="FSCtMain"/>
      </w:pPr>
      <w:r>
        <w:tab/>
      </w:r>
      <w:r w:rsidRPr="00D80068">
        <w:t>(5)</w:t>
      </w:r>
      <w:r w:rsidRPr="00D80068">
        <w:tab/>
        <w:t>If more than 1 piece of information is presented outside the panel in accordance with this section, those pieces of information must be presented together.</w:t>
      </w:r>
    </w:p>
    <w:p w14:paraId="0A42D30F" w14:textId="77777777" w:rsidR="00023102" w:rsidRPr="00D80068" w:rsidRDefault="00023102" w:rsidP="00023102">
      <w:pPr>
        <w:pStyle w:val="FSCtMain"/>
        <w:rPr>
          <w:szCs w:val="20"/>
        </w:rPr>
      </w:pPr>
      <w:r w:rsidRPr="00D80068">
        <w:tab/>
      </w:r>
      <w:r w:rsidRPr="00D80068">
        <w:rPr>
          <w:szCs w:val="20"/>
        </w:rPr>
        <w:t xml:space="preserve">(6) </w:t>
      </w:r>
      <w:r w:rsidRPr="00D80068">
        <w:rPr>
          <w:szCs w:val="20"/>
        </w:rPr>
        <w:tab/>
        <w:t>Information presented in accordance with this section does not constitute a nutrition content claim.”</w:t>
      </w:r>
    </w:p>
    <w:p w14:paraId="40A79701" w14:textId="77777777" w:rsidR="00023102" w:rsidRPr="00D80068" w:rsidRDefault="00023102" w:rsidP="00023102">
      <w:pPr>
        <w:rPr>
          <w:rFonts w:cs="Arial"/>
          <w:sz w:val="20"/>
          <w:szCs w:val="20"/>
        </w:rPr>
      </w:pPr>
    </w:p>
    <w:p w14:paraId="7858E6CE" w14:textId="6207028B" w:rsidR="00023102" w:rsidRPr="00D80068" w:rsidRDefault="00023102" w:rsidP="007B0656">
      <w:pPr>
        <w:tabs>
          <w:tab w:val="left" w:pos="851"/>
        </w:tabs>
        <w:rPr>
          <w:rFonts w:cs="Arial"/>
          <w:sz w:val="20"/>
          <w:szCs w:val="20"/>
        </w:rPr>
      </w:pPr>
      <w:r w:rsidRPr="00D80068">
        <w:rPr>
          <w:rFonts w:cs="Arial"/>
          <w:sz w:val="20"/>
          <w:szCs w:val="20"/>
        </w:rPr>
        <w:t>[3.4]</w:t>
      </w:r>
      <w:r w:rsidRPr="00D80068">
        <w:rPr>
          <w:rFonts w:cs="Arial"/>
          <w:sz w:val="20"/>
          <w:szCs w:val="20"/>
        </w:rPr>
        <w:tab/>
        <w:t>omit from paragraph 1.2.8—14(1)(c) “a declaration of unavailable carbohydrate (not including dietary fibre)”</w:t>
      </w:r>
      <w:r>
        <w:rPr>
          <w:rFonts w:cs="Arial"/>
          <w:sz w:val="20"/>
          <w:szCs w:val="20"/>
        </w:rPr>
        <w:t xml:space="preserve"> and </w:t>
      </w:r>
      <w:r w:rsidRPr="00D80068">
        <w:rPr>
          <w:rFonts w:cs="Arial"/>
          <w:sz w:val="20"/>
          <w:szCs w:val="20"/>
        </w:rPr>
        <w:t>substituting “a declaration of the average quantity of unavailable carbohydrate (not including dietary fibre) per serving of the food”</w:t>
      </w:r>
    </w:p>
    <w:p w14:paraId="059B5B82" w14:textId="77777777" w:rsidR="00023102" w:rsidRPr="00D80068" w:rsidRDefault="00023102" w:rsidP="00023102">
      <w:pPr>
        <w:rPr>
          <w:rFonts w:cs="Arial"/>
          <w:sz w:val="20"/>
          <w:szCs w:val="20"/>
        </w:rPr>
      </w:pPr>
    </w:p>
    <w:p w14:paraId="341248A5" w14:textId="6CB56547" w:rsidR="00023102" w:rsidRPr="00D80068" w:rsidRDefault="00023102" w:rsidP="00023102">
      <w:pPr>
        <w:tabs>
          <w:tab w:val="left" w:pos="851"/>
        </w:tabs>
        <w:rPr>
          <w:rFonts w:cs="Arial"/>
          <w:sz w:val="20"/>
          <w:szCs w:val="20"/>
        </w:rPr>
      </w:pPr>
      <w:r w:rsidRPr="00D80068">
        <w:rPr>
          <w:rFonts w:cs="Arial"/>
          <w:sz w:val="20"/>
          <w:szCs w:val="20"/>
        </w:rPr>
        <w:t>[3.5]</w:t>
      </w:r>
      <w:r w:rsidRPr="00D80068">
        <w:rPr>
          <w:rFonts w:cs="Arial"/>
          <w:sz w:val="20"/>
          <w:szCs w:val="20"/>
        </w:rPr>
        <w:tab/>
        <w:t>omit from paragraph 1.2.8—14(1)(c) “the presence in the food”</w:t>
      </w:r>
      <w:r>
        <w:rPr>
          <w:rFonts w:cs="Arial"/>
          <w:sz w:val="20"/>
          <w:szCs w:val="20"/>
        </w:rPr>
        <w:t xml:space="preserve"> and</w:t>
      </w:r>
      <w:r w:rsidRPr="00D80068">
        <w:rPr>
          <w:rFonts w:cs="Arial"/>
          <w:sz w:val="20"/>
          <w:szCs w:val="20"/>
        </w:rPr>
        <w:t xml:space="preserve"> substituting “the average quantity per serving of the food”</w:t>
      </w:r>
    </w:p>
    <w:p w14:paraId="3C79A12E" w14:textId="77777777" w:rsidR="00023102" w:rsidRPr="00D80068" w:rsidRDefault="00023102" w:rsidP="00023102">
      <w:pPr>
        <w:rPr>
          <w:rFonts w:cs="Arial"/>
          <w:sz w:val="20"/>
          <w:szCs w:val="20"/>
        </w:rPr>
      </w:pPr>
    </w:p>
    <w:p w14:paraId="2129473E" w14:textId="77777777" w:rsidR="00023102" w:rsidRPr="00D80068" w:rsidRDefault="00023102" w:rsidP="00023102">
      <w:pPr>
        <w:tabs>
          <w:tab w:val="left" w:pos="851"/>
        </w:tabs>
        <w:rPr>
          <w:rFonts w:cs="Arial"/>
          <w:sz w:val="20"/>
          <w:szCs w:val="20"/>
        </w:rPr>
      </w:pPr>
      <w:r w:rsidRPr="00D80068">
        <w:rPr>
          <w:rFonts w:cs="Arial"/>
          <w:sz w:val="20"/>
          <w:szCs w:val="20"/>
        </w:rPr>
        <w:t>[3.6]</w:t>
      </w:r>
      <w:r w:rsidRPr="00D80068">
        <w:rPr>
          <w:rFonts w:cs="Arial"/>
          <w:sz w:val="20"/>
          <w:szCs w:val="20"/>
        </w:rPr>
        <w:tab/>
        <w:t>omitting “‘metric cup’,” from subsection 1.2.8—14(2)</w:t>
      </w:r>
    </w:p>
    <w:p w14:paraId="479ECDB8" w14:textId="77777777" w:rsidR="00023102" w:rsidRPr="00D80068" w:rsidRDefault="00023102" w:rsidP="00023102">
      <w:pPr>
        <w:rPr>
          <w:rFonts w:cs="Arial"/>
          <w:sz w:val="20"/>
          <w:szCs w:val="20"/>
        </w:rPr>
      </w:pPr>
    </w:p>
    <w:p w14:paraId="3246EE87" w14:textId="77777777" w:rsidR="00023102" w:rsidRPr="00D80068" w:rsidRDefault="00023102" w:rsidP="00023102">
      <w:pPr>
        <w:rPr>
          <w:rFonts w:cs="Arial"/>
          <w:sz w:val="20"/>
          <w:szCs w:val="20"/>
        </w:rPr>
      </w:pPr>
      <w:r w:rsidRPr="00D80068">
        <w:rPr>
          <w:rFonts w:cs="Arial"/>
          <w:b/>
          <w:sz w:val="20"/>
          <w:szCs w:val="20"/>
        </w:rPr>
        <w:t>[4]</w:t>
      </w:r>
      <w:r w:rsidRPr="00D80068">
        <w:rPr>
          <w:rFonts w:cs="Arial"/>
          <w:b/>
          <w:sz w:val="20"/>
          <w:szCs w:val="20"/>
        </w:rPr>
        <w:tab/>
        <w:t>Schedule 4</w:t>
      </w:r>
      <w:r w:rsidRPr="00D80068">
        <w:rPr>
          <w:rFonts w:cs="Arial"/>
          <w:sz w:val="20"/>
          <w:szCs w:val="20"/>
        </w:rPr>
        <w:t xml:space="preserve"> is varied by </w:t>
      </w:r>
    </w:p>
    <w:p w14:paraId="66396CFC" w14:textId="77777777" w:rsidR="00023102" w:rsidRPr="00D80068" w:rsidRDefault="00023102" w:rsidP="00023102">
      <w:pPr>
        <w:rPr>
          <w:rFonts w:cs="Arial"/>
          <w:sz w:val="20"/>
          <w:szCs w:val="20"/>
        </w:rPr>
      </w:pPr>
    </w:p>
    <w:p w14:paraId="4416E560" w14:textId="77777777" w:rsidR="00023102" w:rsidRPr="00D80068" w:rsidRDefault="00023102" w:rsidP="00023102">
      <w:pPr>
        <w:tabs>
          <w:tab w:val="left" w:pos="851"/>
        </w:tabs>
        <w:rPr>
          <w:rFonts w:cs="Arial"/>
          <w:sz w:val="20"/>
          <w:szCs w:val="20"/>
        </w:rPr>
      </w:pPr>
      <w:r w:rsidRPr="00D80068">
        <w:rPr>
          <w:rFonts w:cs="Arial"/>
          <w:sz w:val="20"/>
          <w:szCs w:val="20"/>
        </w:rPr>
        <w:t>[4.1]</w:t>
      </w:r>
      <w:r w:rsidRPr="00D80068">
        <w:rPr>
          <w:rFonts w:cs="Arial"/>
          <w:sz w:val="20"/>
          <w:szCs w:val="20"/>
        </w:rPr>
        <w:tab/>
        <w:t xml:space="preserve">omitting from the table to section S4—3 “The nutrition information panel indicates the lactose and galactose content.” </w:t>
      </w:r>
    </w:p>
    <w:p w14:paraId="3D6A67F2" w14:textId="77777777" w:rsidR="00023102" w:rsidRPr="00D80068" w:rsidRDefault="00023102" w:rsidP="00023102">
      <w:pPr>
        <w:rPr>
          <w:rFonts w:cs="Arial"/>
          <w:sz w:val="20"/>
          <w:szCs w:val="20"/>
        </w:rPr>
      </w:pPr>
    </w:p>
    <w:p w14:paraId="3622811C" w14:textId="77777777" w:rsidR="00023102" w:rsidRPr="00D80068" w:rsidRDefault="00023102" w:rsidP="00023102">
      <w:pPr>
        <w:tabs>
          <w:tab w:val="left" w:pos="851"/>
        </w:tabs>
        <w:rPr>
          <w:rFonts w:eastAsia="Calibri" w:cs="Arial"/>
          <w:sz w:val="20"/>
          <w:szCs w:val="20"/>
          <w:lang w:eastAsia="en-AU"/>
        </w:rPr>
      </w:pPr>
      <w:r w:rsidRPr="00D80068">
        <w:rPr>
          <w:rFonts w:cs="Arial"/>
          <w:sz w:val="20"/>
          <w:szCs w:val="20"/>
        </w:rPr>
        <w:t xml:space="preserve">[4.2] </w:t>
      </w:r>
      <w:r>
        <w:rPr>
          <w:rFonts w:cs="Arial"/>
          <w:sz w:val="20"/>
          <w:szCs w:val="20"/>
        </w:rPr>
        <w:tab/>
      </w:r>
      <w:r w:rsidRPr="00D80068">
        <w:rPr>
          <w:rFonts w:cs="Arial"/>
          <w:sz w:val="20"/>
          <w:szCs w:val="20"/>
        </w:rPr>
        <w:t>omitting from the table to section S4—3 “</w:t>
      </w:r>
      <w:r w:rsidRPr="00D80068">
        <w:rPr>
          <w:rFonts w:eastAsia="Calibri" w:cs="Arial"/>
          <w:sz w:val="20"/>
          <w:szCs w:val="20"/>
          <w:lang w:eastAsia="en-AU"/>
        </w:rPr>
        <w:t>The nutrition information panel indicates the potassium content.”</w:t>
      </w:r>
    </w:p>
    <w:p w14:paraId="64BFF2F9" w14:textId="77777777" w:rsidR="00023102" w:rsidRPr="00D80068" w:rsidRDefault="00023102" w:rsidP="00023102">
      <w:pPr>
        <w:rPr>
          <w:rFonts w:eastAsia="Calibri" w:cs="Arial"/>
          <w:sz w:val="20"/>
          <w:szCs w:val="20"/>
          <w:lang w:eastAsia="en-AU"/>
        </w:rPr>
      </w:pPr>
    </w:p>
    <w:p w14:paraId="32D93890" w14:textId="77777777" w:rsidR="00023102" w:rsidRPr="00D80068" w:rsidRDefault="00023102" w:rsidP="00023102">
      <w:pPr>
        <w:tabs>
          <w:tab w:val="left" w:pos="851"/>
        </w:tabs>
        <w:rPr>
          <w:rFonts w:eastAsia="Calibri" w:cs="Arial"/>
          <w:sz w:val="20"/>
          <w:szCs w:val="20"/>
          <w:lang w:eastAsia="en-AU"/>
        </w:rPr>
      </w:pPr>
      <w:r w:rsidRPr="00D80068">
        <w:rPr>
          <w:rFonts w:eastAsia="Calibri" w:cs="Arial"/>
          <w:sz w:val="20"/>
          <w:szCs w:val="20"/>
          <w:lang w:eastAsia="en-AU"/>
        </w:rPr>
        <w:t xml:space="preserve">[4.3] </w:t>
      </w:r>
      <w:r>
        <w:rPr>
          <w:rFonts w:eastAsia="Calibri" w:cs="Arial"/>
          <w:sz w:val="20"/>
          <w:szCs w:val="20"/>
          <w:lang w:eastAsia="en-AU"/>
        </w:rPr>
        <w:tab/>
      </w:r>
      <w:r w:rsidRPr="00D80068">
        <w:rPr>
          <w:rFonts w:eastAsia="Calibri" w:cs="Arial"/>
          <w:sz w:val="20"/>
          <w:szCs w:val="20"/>
          <w:lang w:eastAsia="en-AU"/>
        </w:rPr>
        <w:t>omitting from the table to section S4—3</w:t>
      </w:r>
    </w:p>
    <w:p w14:paraId="525BBAB0" w14:textId="77777777" w:rsidR="00023102" w:rsidRDefault="00023102" w:rsidP="00023102">
      <w:pPr>
        <w:rPr>
          <w:rFonts w:eastAsia="Calibri" w:cs="Arial"/>
          <w:sz w:val="20"/>
          <w:szCs w:val="20"/>
          <w:lang w:eastAsia="en-AU"/>
        </w:rPr>
      </w:pPr>
      <w:r>
        <w:rPr>
          <w:rFonts w:eastAsia="Calibri" w:cs="Arial"/>
          <w:sz w:val="20"/>
          <w:szCs w:val="20"/>
          <w:lang w:eastAsia="en-AU"/>
        </w:rPr>
        <w:br w:type="page"/>
      </w:r>
    </w:p>
    <w:p w14:paraId="2415CBA1" w14:textId="77777777" w:rsidR="00023102" w:rsidRPr="00D80068" w:rsidRDefault="00023102" w:rsidP="00023102">
      <w:pPr>
        <w:rPr>
          <w:rFonts w:eastAsia="Calibri" w:cs="Arial"/>
          <w:sz w:val="20"/>
          <w:szCs w:val="20"/>
          <w:lang w:eastAsia="en-AU"/>
        </w:rPr>
      </w:pPr>
    </w:p>
    <w:p w14:paraId="7331A338" w14:textId="77777777" w:rsidR="00023102" w:rsidRPr="00D80068" w:rsidRDefault="00023102" w:rsidP="00023102">
      <w:pPr>
        <w:keepNext/>
        <w:rPr>
          <w:rFonts w:eastAsia="Calibri" w:cs="Arial"/>
          <w:sz w:val="20"/>
          <w:szCs w:val="20"/>
          <w:lang w:eastAsia="en-AU"/>
        </w:rPr>
      </w:pPr>
      <w:r w:rsidRPr="00D80068">
        <w:rPr>
          <w:rFonts w:eastAsia="Calibri" w:cs="Arial"/>
          <w:sz w:val="20"/>
          <w:szCs w:val="20"/>
          <w:lang w:eastAsia="en-AU"/>
        </w:rPr>
        <w:t>“</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1"/>
        <w:gridCol w:w="2819"/>
        <w:gridCol w:w="1560"/>
        <w:gridCol w:w="3152"/>
      </w:tblGrid>
      <w:tr w:rsidR="00023102" w:rsidRPr="00D80068" w14:paraId="2B82E3CC" w14:textId="77777777" w:rsidTr="003D609A">
        <w:trPr>
          <w:cantSplit/>
          <w:trHeight w:val="2481"/>
        </w:trPr>
        <w:tc>
          <w:tcPr>
            <w:tcW w:w="1547" w:type="dxa"/>
            <w:vMerge w:val="restart"/>
            <w:tcBorders>
              <w:top w:val="single" w:sz="6" w:space="0" w:color="auto"/>
              <w:left w:val="nil"/>
              <w:bottom w:val="single" w:sz="6" w:space="0" w:color="auto"/>
              <w:right w:val="nil"/>
            </w:tcBorders>
            <w:hideMark/>
          </w:tcPr>
          <w:p w14:paraId="524FA356" w14:textId="77777777" w:rsidR="00023102" w:rsidRPr="00D80068" w:rsidRDefault="00023102" w:rsidP="003D609A">
            <w:pPr>
              <w:keepLines/>
              <w:widowControl/>
              <w:spacing w:before="60" w:after="60"/>
              <w:rPr>
                <w:rFonts w:cs="Arial"/>
                <w:sz w:val="18"/>
                <w:szCs w:val="22"/>
                <w:lang w:eastAsia="en-AU" w:bidi="ar-SA"/>
              </w:rPr>
            </w:pPr>
            <w:r w:rsidRPr="00D80068">
              <w:rPr>
                <w:rFonts w:cs="Arial"/>
                <w:sz w:val="18"/>
                <w:szCs w:val="22"/>
                <w:lang w:eastAsia="en-AU" w:bidi="ar-SA"/>
              </w:rPr>
              <w:t>Omega-3 fatty acids</w:t>
            </w:r>
          </w:p>
        </w:tc>
        <w:tc>
          <w:tcPr>
            <w:tcW w:w="2829" w:type="dxa"/>
            <w:vMerge w:val="restart"/>
            <w:tcBorders>
              <w:top w:val="single" w:sz="6" w:space="0" w:color="auto"/>
              <w:left w:val="nil"/>
              <w:bottom w:val="single" w:sz="6" w:space="0" w:color="auto"/>
              <w:right w:val="nil"/>
            </w:tcBorders>
            <w:hideMark/>
          </w:tcPr>
          <w:p w14:paraId="543A0E28"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meets the conditions for a nutrition content claim about omega fatty acids; and</w:t>
            </w:r>
          </w:p>
          <w:p w14:paraId="523DEE4B"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contains no less than:</w:t>
            </w:r>
          </w:p>
          <w:p w14:paraId="2CEBA450" w14:textId="77777777" w:rsidR="00023102" w:rsidRPr="00D80068" w:rsidRDefault="00023102" w:rsidP="003D609A">
            <w:pPr>
              <w:pStyle w:val="FSCtblASubpara"/>
            </w:pPr>
            <w:r w:rsidRPr="00D80068">
              <w:t>(i)</w:t>
            </w:r>
            <w:r w:rsidRPr="00D80068">
              <w:tab/>
              <w:t>200 mg alpha-linolenic acid per serving; or</w:t>
            </w:r>
          </w:p>
          <w:p w14:paraId="670B6E92" w14:textId="77777777" w:rsidR="00023102" w:rsidRPr="00D80068" w:rsidRDefault="00023102" w:rsidP="003D609A">
            <w:pPr>
              <w:pStyle w:val="FSCtblASubpara"/>
            </w:pPr>
            <w:r w:rsidRPr="00D80068">
              <w:t>(ii)</w:t>
            </w:r>
            <w:r w:rsidRPr="00D80068">
              <w:tab/>
              <w:t xml:space="preserve">30 mg total eicosapentaenoic acid and docosahexaenoic acid per serving; and </w:t>
            </w:r>
          </w:p>
          <w:p w14:paraId="3C9DCB41"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(c)</w:t>
            </w:r>
            <w:r w:rsidRPr="00D80068">
              <w:rPr>
                <w:rFonts w:cs="Arial"/>
                <w:sz w:val="18"/>
                <w:szCs w:val="22"/>
                <w:lang w:eastAsia="en-AU" w:bidi="ar-SA"/>
              </w:rPr>
              <w:tab/>
              <w:t>other than for fish or fish products with no added *saturated fatty acids, the food contains:</w:t>
            </w:r>
          </w:p>
          <w:p w14:paraId="0C8B4BE4" w14:textId="77777777" w:rsidR="00023102" w:rsidRPr="00D80068" w:rsidRDefault="00023102" w:rsidP="003D609A">
            <w:pPr>
              <w:pStyle w:val="FSCtblASubpara"/>
            </w:pPr>
            <w:r w:rsidRPr="00D80068">
              <w:t>(i)</w:t>
            </w:r>
            <w:r w:rsidRPr="00D80068">
              <w:tab/>
              <w:t>as a proportion of the total fatty acid content, no more than 28% saturated fatty acids and trans fatty acids; or</w:t>
            </w:r>
          </w:p>
          <w:p w14:paraId="56EB240C" w14:textId="77777777" w:rsidR="00023102" w:rsidRPr="00D80068" w:rsidRDefault="00023102" w:rsidP="003D609A">
            <w:pPr>
              <w:pStyle w:val="FSCtblASubpara"/>
            </w:pPr>
            <w:r w:rsidRPr="00D80068">
              <w:t>(ii)</w:t>
            </w:r>
            <w:r w:rsidRPr="00D80068">
              <w:tab/>
              <w:t>no more saturated fatty acids and *trans fatty acids than 5 g per 100 g; and</w:t>
            </w:r>
          </w:p>
          <w:p w14:paraId="15D2BF5F"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(d)</w:t>
            </w:r>
            <w:r w:rsidRPr="00D80068">
              <w:rPr>
                <w:rFonts w:cs="Arial"/>
                <w:sz w:val="18"/>
                <w:szCs w:val="22"/>
                <w:lang w:eastAsia="en-AU" w:bidi="ar-SA"/>
              </w:rPr>
              <w:tab/>
              <w:t>the nutrition information panel indicates the type and amount of omega-3 fatty acids, that is, alpha-linolenic acid, docosahexaenoic acid or eicosapentaenoic acid, or a combination of the above.</w:t>
            </w:r>
          </w:p>
        </w:tc>
        <w:tc>
          <w:tcPr>
            <w:tcW w:w="1565" w:type="dxa"/>
            <w:tcBorders>
              <w:top w:val="single" w:sz="6" w:space="0" w:color="auto"/>
              <w:left w:val="nil"/>
              <w:bottom w:val="nil"/>
              <w:right w:val="nil"/>
            </w:tcBorders>
            <w:hideMark/>
          </w:tcPr>
          <w:p w14:paraId="51045F46" w14:textId="77777777" w:rsidR="00023102" w:rsidRPr="00D80068" w:rsidRDefault="00023102" w:rsidP="003D609A">
            <w:pPr>
              <w:keepLines/>
              <w:widowControl/>
              <w:spacing w:before="60" w:after="60"/>
              <w:rPr>
                <w:rFonts w:cs="Arial"/>
                <w:sz w:val="18"/>
                <w:szCs w:val="22"/>
                <w:lang w:eastAsia="en-AU" w:bidi="ar-SA"/>
              </w:rPr>
            </w:pPr>
            <w:r w:rsidRPr="00D80068">
              <w:rPr>
                <w:rFonts w:cs="Arial"/>
                <w:sz w:val="18"/>
                <w:szCs w:val="22"/>
                <w:lang w:eastAsia="en-AU" w:bidi="ar-SA"/>
              </w:rPr>
              <w:t>Good Source</w:t>
            </w:r>
          </w:p>
        </w:tc>
        <w:tc>
          <w:tcPr>
            <w:tcW w:w="3163" w:type="dxa"/>
            <w:tcBorders>
              <w:top w:val="single" w:sz="6" w:space="0" w:color="auto"/>
              <w:left w:val="nil"/>
              <w:bottom w:val="nil"/>
              <w:right w:val="nil"/>
            </w:tcBorders>
            <w:hideMark/>
          </w:tcPr>
          <w:p w14:paraId="2FC7F060"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no less than 60 mg total eicosapentaenoic acid and docosahexaenoic acid/serving; and</w:t>
            </w:r>
          </w:p>
          <w:p w14:paraId="245D5497"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may contain less than 200 mg alpha-linolenic acid/serving.</w:t>
            </w:r>
          </w:p>
        </w:tc>
      </w:tr>
      <w:tr w:rsidR="00023102" w:rsidRPr="00D80068" w14:paraId="6AEF1040" w14:textId="77777777" w:rsidTr="003D609A">
        <w:trPr>
          <w:trHeight w:val="3247"/>
        </w:trPr>
        <w:tc>
          <w:tcPr>
            <w:tcW w:w="1547" w:type="dxa"/>
            <w:vMerge/>
            <w:tcBorders>
              <w:top w:val="single" w:sz="6" w:space="0" w:color="auto"/>
              <w:left w:val="nil"/>
              <w:bottom w:val="single" w:sz="6" w:space="0" w:color="auto"/>
              <w:right w:val="nil"/>
            </w:tcBorders>
            <w:vAlign w:val="center"/>
            <w:hideMark/>
          </w:tcPr>
          <w:p w14:paraId="5769D2C3" w14:textId="77777777" w:rsidR="00023102" w:rsidRPr="00D80068" w:rsidRDefault="00023102" w:rsidP="003D609A">
            <w:pPr>
              <w:rPr>
                <w:rFonts w:cs="Arial"/>
                <w:sz w:val="18"/>
                <w:szCs w:val="22"/>
                <w:lang w:eastAsia="en-AU"/>
              </w:rPr>
            </w:pPr>
          </w:p>
        </w:tc>
        <w:tc>
          <w:tcPr>
            <w:tcW w:w="2829" w:type="dxa"/>
            <w:vMerge/>
            <w:tcBorders>
              <w:top w:val="single" w:sz="6" w:space="0" w:color="auto"/>
              <w:left w:val="nil"/>
              <w:bottom w:val="single" w:sz="6" w:space="0" w:color="auto"/>
              <w:right w:val="nil"/>
            </w:tcBorders>
            <w:vAlign w:val="center"/>
            <w:hideMark/>
          </w:tcPr>
          <w:p w14:paraId="11C771E3" w14:textId="77777777" w:rsidR="00023102" w:rsidRPr="00D80068" w:rsidRDefault="00023102" w:rsidP="003D609A">
            <w:pPr>
              <w:rPr>
                <w:rFonts w:cs="Arial"/>
                <w:sz w:val="18"/>
                <w:szCs w:val="22"/>
                <w:lang w:eastAsia="en-AU"/>
              </w:rPr>
            </w:pPr>
          </w:p>
        </w:tc>
        <w:tc>
          <w:tcPr>
            <w:tcW w:w="1565" w:type="dxa"/>
            <w:tcBorders>
              <w:top w:val="nil"/>
              <w:left w:val="nil"/>
              <w:bottom w:val="single" w:sz="6" w:space="0" w:color="auto"/>
              <w:right w:val="nil"/>
            </w:tcBorders>
            <w:hideMark/>
          </w:tcPr>
          <w:p w14:paraId="2B68CC49" w14:textId="77777777" w:rsidR="00023102" w:rsidRPr="00D80068" w:rsidRDefault="00023102" w:rsidP="003D609A">
            <w:pPr>
              <w:keepLines/>
              <w:widowControl/>
              <w:spacing w:before="60" w:after="60"/>
              <w:rPr>
                <w:rFonts w:cs="Arial"/>
                <w:sz w:val="18"/>
                <w:szCs w:val="22"/>
                <w:lang w:eastAsia="en-AU" w:bidi="ar-SA"/>
              </w:rPr>
            </w:pPr>
            <w:r w:rsidRPr="00D80068">
              <w:rPr>
                <w:rFonts w:cs="Arial"/>
                <w:sz w:val="18"/>
                <w:szCs w:val="22"/>
                <w:lang w:eastAsia="en-AU" w:bidi="ar-SA"/>
              </w:rPr>
              <w:t>Increased</w:t>
            </w:r>
          </w:p>
        </w:tc>
        <w:tc>
          <w:tcPr>
            <w:tcW w:w="3163" w:type="dxa"/>
            <w:tcBorders>
              <w:top w:val="nil"/>
              <w:left w:val="nil"/>
              <w:bottom w:val="single" w:sz="6" w:space="0" w:color="auto"/>
              <w:right w:val="nil"/>
            </w:tcBorders>
            <w:hideMark/>
          </w:tcPr>
          <w:p w14:paraId="6E71D68C"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at least 25% more omega-3 fatty acids than in the same amount of *reference food; and</w:t>
            </w:r>
          </w:p>
          <w:p w14:paraId="2040A462" w14:textId="77777777" w:rsidR="00023102" w:rsidRPr="00D80068" w:rsidRDefault="00023102" w:rsidP="003D609A">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reference food meets the general claim conditions for a nutrition content claim about omega-3 fatty acids.</w:t>
            </w:r>
          </w:p>
        </w:tc>
      </w:tr>
    </w:tbl>
    <w:p w14:paraId="704F607B" w14:textId="77777777" w:rsidR="00023102" w:rsidRPr="00D80068" w:rsidRDefault="00023102" w:rsidP="00023102">
      <w:pPr>
        <w:jc w:val="right"/>
        <w:rPr>
          <w:rFonts w:eastAsia="Calibri" w:cs="Arial"/>
          <w:sz w:val="20"/>
          <w:szCs w:val="20"/>
          <w:lang w:eastAsia="en-AU"/>
        </w:rPr>
      </w:pPr>
      <w:r w:rsidRPr="00D80068">
        <w:rPr>
          <w:rFonts w:eastAsia="Calibri" w:cs="Arial"/>
          <w:sz w:val="20"/>
          <w:szCs w:val="20"/>
          <w:lang w:eastAsia="en-AU"/>
        </w:rPr>
        <w:t>”</w:t>
      </w:r>
    </w:p>
    <w:p w14:paraId="30354AD7" w14:textId="77777777" w:rsidR="00023102" w:rsidRPr="00D80068" w:rsidRDefault="00023102" w:rsidP="00023102">
      <w:pPr>
        <w:jc w:val="right"/>
        <w:rPr>
          <w:rFonts w:eastAsia="Calibri" w:cs="Arial"/>
          <w:sz w:val="20"/>
          <w:szCs w:val="20"/>
          <w:lang w:eastAsia="en-AU"/>
        </w:rPr>
      </w:pPr>
    </w:p>
    <w:p w14:paraId="0784F333" w14:textId="77777777" w:rsidR="00023102" w:rsidRPr="00D80068" w:rsidRDefault="00023102" w:rsidP="00023102">
      <w:pPr>
        <w:rPr>
          <w:rFonts w:eastAsia="Calibri" w:cs="Arial"/>
          <w:sz w:val="20"/>
          <w:szCs w:val="20"/>
          <w:lang w:eastAsia="en-AU"/>
        </w:rPr>
      </w:pPr>
      <w:r w:rsidRPr="00D80068">
        <w:rPr>
          <w:rFonts w:eastAsia="Calibri" w:cs="Arial"/>
          <w:sz w:val="20"/>
          <w:szCs w:val="20"/>
          <w:lang w:eastAsia="en-AU"/>
        </w:rPr>
        <w:t>and substituting</w:t>
      </w:r>
    </w:p>
    <w:p w14:paraId="12729DE2" w14:textId="77777777" w:rsidR="00023102" w:rsidRPr="00D80068" w:rsidRDefault="00023102" w:rsidP="00023102">
      <w:pPr>
        <w:rPr>
          <w:rFonts w:eastAsia="Calibri" w:cs="Arial"/>
          <w:sz w:val="20"/>
          <w:szCs w:val="20"/>
          <w:lang w:eastAsia="en-AU"/>
        </w:rPr>
      </w:pPr>
    </w:p>
    <w:p w14:paraId="521F9CF9" w14:textId="77777777" w:rsidR="00023102" w:rsidRDefault="00023102" w:rsidP="00023102">
      <w:pPr>
        <w:rPr>
          <w:rFonts w:eastAsia="Calibri" w:cs="Arial"/>
          <w:sz w:val="20"/>
          <w:szCs w:val="20"/>
          <w:lang w:eastAsia="en-AU"/>
        </w:rPr>
      </w:pPr>
      <w:r>
        <w:rPr>
          <w:rFonts w:eastAsia="Calibri" w:cs="Arial"/>
          <w:sz w:val="20"/>
          <w:szCs w:val="20"/>
          <w:lang w:eastAsia="en-AU"/>
        </w:rPr>
        <w:br w:type="page"/>
      </w:r>
    </w:p>
    <w:p w14:paraId="21D5ED4D" w14:textId="77777777" w:rsidR="00023102" w:rsidRPr="00D80068" w:rsidRDefault="00023102" w:rsidP="00023102">
      <w:pPr>
        <w:rPr>
          <w:rFonts w:eastAsia="Calibri" w:cs="Arial"/>
          <w:sz w:val="20"/>
          <w:szCs w:val="20"/>
          <w:lang w:eastAsia="en-AU"/>
        </w:rPr>
      </w:pPr>
      <w:r w:rsidRPr="00D80068">
        <w:rPr>
          <w:rFonts w:eastAsia="Calibri" w:cs="Arial"/>
          <w:sz w:val="20"/>
          <w:szCs w:val="20"/>
          <w:lang w:eastAsia="en-AU"/>
        </w:rPr>
        <w:lastRenderedPageBreak/>
        <w:t>“</w:t>
      </w:r>
    </w:p>
    <w:tbl>
      <w:tblPr>
        <w:tblW w:w="907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20"/>
        <w:gridCol w:w="1560"/>
        <w:gridCol w:w="3153"/>
      </w:tblGrid>
      <w:tr w:rsidR="00023102" w:rsidRPr="00D80068" w14:paraId="5423BE71" w14:textId="77777777" w:rsidTr="003D609A">
        <w:trPr>
          <w:cantSplit/>
          <w:trHeight w:val="2300"/>
        </w:trPr>
        <w:tc>
          <w:tcPr>
            <w:tcW w:w="1542" w:type="dxa"/>
            <w:vMerge w:val="restart"/>
            <w:tcBorders>
              <w:top w:val="single" w:sz="6" w:space="0" w:color="auto"/>
              <w:left w:val="nil"/>
              <w:bottom w:val="single" w:sz="6" w:space="0" w:color="auto"/>
              <w:right w:val="nil"/>
            </w:tcBorders>
            <w:hideMark/>
          </w:tcPr>
          <w:p w14:paraId="26FD6B94" w14:textId="77777777" w:rsidR="00023102" w:rsidRPr="00D80068" w:rsidRDefault="00023102" w:rsidP="003D609A">
            <w:pPr>
              <w:pStyle w:val="FSCtblAMain"/>
            </w:pPr>
            <w:r w:rsidRPr="00D80068">
              <w:t>Omega-3 fatty acids</w:t>
            </w:r>
          </w:p>
        </w:tc>
        <w:tc>
          <w:tcPr>
            <w:tcW w:w="2819" w:type="dxa"/>
            <w:vMerge w:val="restart"/>
            <w:tcBorders>
              <w:top w:val="single" w:sz="6" w:space="0" w:color="auto"/>
              <w:left w:val="nil"/>
              <w:bottom w:val="single" w:sz="6" w:space="0" w:color="auto"/>
              <w:right w:val="nil"/>
            </w:tcBorders>
            <w:hideMark/>
          </w:tcPr>
          <w:p w14:paraId="6314E6FA" w14:textId="77777777" w:rsidR="00023102" w:rsidRPr="00D80068" w:rsidRDefault="00023102" w:rsidP="003D609A">
            <w:pPr>
              <w:pStyle w:val="FSCtblAPara"/>
            </w:pPr>
            <w:r w:rsidRPr="00D80068">
              <w:t>(a)</w:t>
            </w:r>
            <w:r w:rsidRPr="00D80068">
              <w:tab/>
              <w:t>The food meets the conditions for a nutrition content claim about omega fatty acids; and</w:t>
            </w:r>
          </w:p>
          <w:p w14:paraId="33EDF956" w14:textId="77777777" w:rsidR="00023102" w:rsidRPr="00D80068" w:rsidRDefault="00023102" w:rsidP="003D609A">
            <w:pPr>
              <w:pStyle w:val="FSCtblAPara"/>
            </w:pPr>
            <w:r w:rsidRPr="00D80068">
              <w:t>(b)</w:t>
            </w:r>
            <w:r w:rsidRPr="00D80068">
              <w:tab/>
              <w:t>the food contains no less than:</w:t>
            </w:r>
          </w:p>
          <w:p w14:paraId="4B831D07" w14:textId="77777777" w:rsidR="00023102" w:rsidRPr="00D80068" w:rsidRDefault="00023102" w:rsidP="003D609A">
            <w:pPr>
              <w:pStyle w:val="FSCtblASubpara"/>
            </w:pPr>
            <w:r w:rsidRPr="00D80068">
              <w:t>(i)</w:t>
            </w:r>
            <w:r w:rsidRPr="00D80068">
              <w:tab/>
              <w:t>200 mg alpha-linolenic acid per serving; or</w:t>
            </w:r>
          </w:p>
          <w:p w14:paraId="7FFD65A3" w14:textId="77777777" w:rsidR="00023102" w:rsidRPr="00D80068" w:rsidRDefault="00023102" w:rsidP="003D609A">
            <w:pPr>
              <w:pStyle w:val="FSCtblASubpara"/>
            </w:pPr>
            <w:r w:rsidRPr="00D80068">
              <w:t>(ii)</w:t>
            </w:r>
            <w:r w:rsidRPr="00D80068">
              <w:tab/>
              <w:t xml:space="preserve">30 mg total eicosapentaenoic acid and docosahexaenoic acid per serving; and </w:t>
            </w:r>
          </w:p>
          <w:p w14:paraId="37312516" w14:textId="77777777" w:rsidR="00023102" w:rsidRPr="00D80068" w:rsidRDefault="00023102" w:rsidP="003D609A">
            <w:pPr>
              <w:pStyle w:val="FSCtblAPara"/>
            </w:pPr>
            <w:r w:rsidRPr="00D80068">
              <w:t>(c)</w:t>
            </w:r>
            <w:r w:rsidRPr="00D80068">
              <w:tab/>
              <w:t>other than for fish or fish products with no added *saturated fatty acids, the food contains:</w:t>
            </w:r>
          </w:p>
          <w:p w14:paraId="73689508" w14:textId="77777777" w:rsidR="00023102" w:rsidRPr="00D80068" w:rsidRDefault="00023102" w:rsidP="003D609A">
            <w:pPr>
              <w:pStyle w:val="FSCtblASubpara"/>
            </w:pPr>
            <w:r w:rsidRPr="00D80068">
              <w:t>(i)</w:t>
            </w:r>
            <w:r w:rsidRPr="00D80068">
              <w:tab/>
              <w:t>as a proportion of the total fatty acid content, no more than 28% saturated fatty acids and trans fatty acids; or</w:t>
            </w:r>
          </w:p>
          <w:p w14:paraId="0E2A3E28" w14:textId="77777777" w:rsidR="00023102" w:rsidRPr="00D80068" w:rsidRDefault="00023102" w:rsidP="003D609A">
            <w:pPr>
              <w:pStyle w:val="FSCtblASubpara"/>
            </w:pPr>
            <w:r w:rsidRPr="00D80068">
              <w:t>(ii)</w:t>
            </w:r>
            <w:r w:rsidRPr="00D80068">
              <w:tab/>
              <w:t>no more saturated fatty acids and *trans fatty acids than 5 g per 100 g</w:t>
            </w:r>
          </w:p>
        </w:tc>
        <w:tc>
          <w:tcPr>
            <w:tcW w:w="1559" w:type="dxa"/>
            <w:tcBorders>
              <w:top w:val="single" w:sz="6" w:space="0" w:color="auto"/>
              <w:left w:val="nil"/>
              <w:bottom w:val="nil"/>
              <w:right w:val="nil"/>
            </w:tcBorders>
            <w:hideMark/>
          </w:tcPr>
          <w:p w14:paraId="059F4DBD" w14:textId="77777777" w:rsidR="00023102" w:rsidRPr="00D80068" w:rsidRDefault="00023102" w:rsidP="003D609A">
            <w:pPr>
              <w:keepLines/>
              <w:widowControl/>
              <w:spacing w:before="60" w:after="60"/>
              <w:rPr>
                <w:rFonts w:cs="Arial"/>
                <w:sz w:val="18"/>
                <w:szCs w:val="22"/>
                <w:lang w:eastAsia="en-AU" w:bidi="ar-SA"/>
              </w:rPr>
            </w:pPr>
            <w:r w:rsidRPr="00D80068">
              <w:rPr>
                <w:rFonts w:cs="Arial"/>
                <w:sz w:val="18"/>
                <w:szCs w:val="22"/>
                <w:lang w:eastAsia="en-AU" w:bidi="ar-SA"/>
              </w:rPr>
              <w:t>Good Source</w:t>
            </w:r>
          </w:p>
        </w:tc>
        <w:tc>
          <w:tcPr>
            <w:tcW w:w="3152" w:type="dxa"/>
            <w:tcBorders>
              <w:top w:val="single" w:sz="6" w:space="0" w:color="auto"/>
              <w:left w:val="nil"/>
              <w:bottom w:val="nil"/>
              <w:right w:val="nil"/>
            </w:tcBorders>
            <w:hideMark/>
          </w:tcPr>
          <w:p w14:paraId="4B7610E5" w14:textId="77777777" w:rsidR="00023102" w:rsidRPr="00D80068" w:rsidRDefault="00023102" w:rsidP="003D609A">
            <w:pPr>
              <w:pStyle w:val="FSCtblAPara"/>
            </w:pPr>
            <w:r w:rsidRPr="00D80068">
              <w:t>(a)</w:t>
            </w:r>
            <w:r w:rsidRPr="00D80068">
              <w:tab/>
              <w:t>The food contains no less than 60 mg total eicosapentaenoic acid and docosahexaenoic acid/serving; and</w:t>
            </w:r>
          </w:p>
          <w:p w14:paraId="0B72F4BD" w14:textId="77777777" w:rsidR="00023102" w:rsidRPr="00D80068" w:rsidRDefault="00023102" w:rsidP="003D609A">
            <w:pPr>
              <w:pStyle w:val="FSCtblAPara"/>
            </w:pPr>
            <w:r w:rsidRPr="00D80068">
              <w:t>(b)</w:t>
            </w:r>
            <w:r w:rsidRPr="00D80068">
              <w:tab/>
              <w:t>the food may contain less than 200 mg alpha-linolenic acid/serving.</w:t>
            </w:r>
          </w:p>
        </w:tc>
      </w:tr>
      <w:tr w:rsidR="00023102" w:rsidRPr="00D80068" w14:paraId="70B17F85" w14:textId="77777777" w:rsidTr="003D609A">
        <w:trPr>
          <w:trHeight w:val="3010"/>
        </w:trPr>
        <w:tc>
          <w:tcPr>
            <w:tcW w:w="1542" w:type="dxa"/>
            <w:vMerge/>
            <w:tcBorders>
              <w:top w:val="single" w:sz="6" w:space="0" w:color="auto"/>
              <w:left w:val="nil"/>
              <w:bottom w:val="single" w:sz="6" w:space="0" w:color="auto"/>
              <w:right w:val="nil"/>
            </w:tcBorders>
            <w:vAlign w:val="center"/>
            <w:hideMark/>
          </w:tcPr>
          <w:p w14:paraId="7A4DCF56" w14:textId="77777777" w:rsidR="00023102" w:rsidRPr="00D80068" w:rsidRDefault="00023102" w:rsidP="003D609A">
            <w:pPr>
              <w:rPr>
                <w:rFonts w:cs="Arial"/>
                <w:sz w:val="18"/>
                <w:szCs w:val="22"/>
                <w:lang w:eastAsia="en-AU"/>
              </w:rPr>
            </w:pPr>
          </w:p>
        </w:tc>
        <w:tc>
          <w:tcPr>
            <w:tcW w:w="2819" w:type="dxa"/>
            <w:vMerge/>
            <w:tcBorders>
              <w:top w:val="single" w:sz="6" w:space="0" w:color="auto"/>
              <w:left w:val="nil"/>
              <w:bottom w:val="single" w:sz="6" w:space="0" w:color="auto"/>
              <w:right w:val="nil"/>
            </w:tcBorders>
            <w:vAlign w:val="center"/>
            <w:hideMark/>
          </w:tcPr>
          <w:p w14:paraId="161811BA" w14:textId="77777777" w:rsidR="00023102" w:rsidRPr="00D80068" w:rsidRDefault="00023102" w:rsidP="003D609A">
            <w:pPr>
              <w:rPr>
                <w:rFonts w:cs="Arial"/>
                <w:sz w:val="18"/>
                <w:szCs w:val="22"/>
                <w:lang w:eastAsia="en-AU"/>
              </w:rPr>
            </w:pPr>
          </w:p>
        </w:tc>
        <w:tc>
          <w:tcPr>
            <w:tcW w:w="1559" w:type="dxa"/>
            <w:tcBorders>
              <w:top w:val="nil"/>
              <w:left w:val="nil"/>
              <w:bottom w:val="single" w:sz="6" w:space="0" w:color="auto"/>
              <w:right w:val="nil"/>
            </w:tcBorders>
            <w:hideMark/>
          </w:tcPr>
          <w:p w14:paraId="346CCD3C" w14:textId="77777777" w:rsidR="00023102" w:rsidRPr="00D80068" w:rsidRDefault="00023102" w:rsidP="003D609A">
            <w:pPr>
              <w:keepLines/>
              <w:widowControl/>
              <w:spacing w:before="60" w:after="60"/>
              <w:rPr>
                <w:rFonts w:cs="Arial"/>
                <w:sz w:val="18"/>
                <w:szCs w:val="22"/>
                <w:lang w:eastAsia="en-AU" w:bidi="ar-SA"/>
              </w:rPr>
            </w:pPr>
            <w:r w:rsidRPr="00D80068">
              <w:rPr>
                <w:rFonts w:cs="Arial"/>
                <w:sz w:val="18"/>
                <w:szCs w:val="22"/>
                <w:lang w:eastAsia="en-AU" w:bidi="ar-SA"/>
              </w:rPr>
              <w:t>Increased</w:t>
            </w:r>
          </w:p>
        </w:tc>
        <w:tc>
          <w:tcPr>
            <w:tcW w:w="3152" w:type="dxa"/>
            <w:tcBorders>
              <w:top w:val="nil"/>
              <w:left w:val="nil"/>
              <w:bottom w:val="single" w:sz="6" w:space="0" w:color="auto"/>
              <w:right w:val="nil"/>
            </w:tcBorders>
            <w:hideMark/>
          </w:tcPr>
          <w:p w14:paraId="4D0A4745" w14:textId="77777777" w:rsidR="00023102" w:rsidRPr="00D80068" w:rsidRDefault="00023102" w:rsidP="003D609A">
            <w:pPr>
              <w:pStyle w:val="FSCtblAPara"/>
            </w:pPr>
            <w:r w:rsidRPr="00D80068">
              <w:t>(a)</w:t>
            </w:r>
            <w:r w:rsidRPr="00D80068">
              <w:tab/>
              <w:t>The food contains at least 25% more omega-3 fatty acids than in the same amount of *reference food; and</w:t>
            </w:r>
          </w:p>
          <w:p w14:paraId="1E5CFF0E" w14:textId="77777777" w:rsidR="00023102" w:rsidRPr="00D80068" w:rsidRDefault="00023102" w:rsidP="003D609A">
            <w:pPr>
              <w:pStyle w:val="FSCtblAPara"/>
            </w:pPr>
            <w:r w:rsidRPr="00D80068">
              <w:t>(b)</w:t>
            </w:r>
            <w:r w:rsidRPr="00D80068">
              <w:tab/>
              <w:t>the reference food meets the general claim conditions for a nutrition content claim about omega-3 fatty acids.</w:t>
            </w:r>
          </w:p>
        </w:tc>
      </w:tr>
    </w:tbl>
    <w:p w14:paraId="6475FD70" w14:textId="77777777" w:rsidR="00023102" w:rsidRDefault="00023102" w:rsidP="00023102">
      <w:pPr>
        <w:jc w:val="right"/>
        <w:rPr>
          <w:rFonts w:eastAsia="Calibri" w:cs="Arial"/>
          <w:sz w:val="20"/>
          <w:szCs w:val="20"/>
          <w:lang w:eastAsia="en-AU"/>
        </w:rPr>
      </w:pPr>
      <w:r w:rsidRPr="00D80068">
        <w:rPr>
          <w:rFonts w:eastAsia="Calibri" w:cs="Arial"/>
          <w:sz w:val="20"/>
          <w:szCs w:val="20"/>
          <w:lang w:eastAsia="en-AU"/>
        </w:rPr>
        <w:t>”</w:t>
      </w:r>
    </w:p>
    <w:p w14:paraId="1D888FBA" w14:textId="77777777" w:rsidR="00023102" w:rsidRPr="00D80068" w:rsidRDefault="00023102" w:rsidP="00023102">
      <w:pPr>
        <w:jc w:val="right"/>
        <w:rPr>
          <w:rFonts w:cs="Arial"/>
          <w:sz w:val="20"/>
          <w:szCs w:val="20"/>
        </w:rPr>
      </w:pPr>
    </w:p>
    <w:p w14:paraId="1AFE847A" w14:textId="77777777" w:rsidR="00023102" w:rsidRPr="00D80068" w:rsidRDefault="00023102" w:rsidP="007B0656">
      <w:pPr>
        <w:tabs>
          <w:tab w:val="left" w:pos="851"/>
        </w:tabs>
        <w:rPr>
          <w:rFonts w:cs="Arial"/>
          <w:sz w:val="20"/>
          <w:szCs w:val="20"/>
        </w:rPr>
      </w:pPr>
      <w:r w:rsidRPr="00D80068">
        <w:rPr>
          <w:rFonts w:cs="Arial"/>
          <w:b/>
          <w:sz w:val="20"/>
          <w:szCs w:val="20"/>
        </w:rPr>
        <w:t>[5]</w:t>
      </w:r>
      <w:r w:rsidRPr="00D80068">
        <w:rPr>
          <w:rFonts w:cs="Arial"/>
          <w:b/>
          <w:sz w:val="20"/>
          <w:szCs w:val="20"/>
        </w:rPr>
        <w:tab/>
        <w:t xml:space="preserve">Schedule 5 </w:t>
      </w:r>
      <w:r w:rsidRPr="00D80068">
        <w:rPr>
          <w:rFonts w:cs="Arial"/>
          <w:sz w:val="20"/>
          <w:szCs w:val="20"/>
        </w:rPr>
        <w:t>is varied by</w:t>
      </w:r>
    </w:p>
    <w:p w14:paraId="312CEEC0" w14:textId="77777777" w:rsidR="00023102" w:rsidRPr="00D80068" w:rsidRDefault="00023102" w:rsidP="00023102">
      <w:pPr>
        <w:rPr>
          <w:rFonts w:cs="Arial"/>
          <w:sz w:val="20"/>
          <w:szCs w:val="20"/>
        </w:rPr>
      </w:pPr>
    </w:p>
    <w:p w14:paraId="23CFF898" w14:textId="77777777" w:rsidR="00023102" w:rsidRPr="00D80068" w:rsidRDefault="00023102" w:rsidP="00023102">
      <w:pPr>
        <w:tabs>
          <w:tab w:val="left" w:pos="851"/>
        </w:tabs>
        <w:rPr>
          <w:rFonts w:cs="Arial"/>
          <w:sz w:val="20"/>
          <w:szCs w:val="20"/>
        </w:rPr>
      </w:pPr>
      <w:r w:rsidRPr="00D80068">
        <w:rPr>
          <w:rFonts w:cs="Arial"/>
          <w:sz w:val="20"/>
          <w:szCs w:val="20"/>
        </w:rPr>
        <w:t>[5.1]</w:t>
      </w:r>
      <w:r w:rsidRPr="00D80068">
        <w:rPr>
          <w:rFonts w:cs="Arial"/>
          <w:sz w:val="20"/>
          <w:szCs w:val="20"/>
        </w:rPr>
        <w:tab/>
        <w:t xml:space="preserve">omitting </w:t>
      </w:r>
      <w:r w:rsidRPr="00D80068">
        <w:rPr>
          <w:rFonts w:cs="Arial"/>
          <w:iCs/>
          <w:sz w:val="20"/>
          <w:szCs w:val="20"/>
        </w:rPr>
        <w:t xml:space="preserve">“total” </w:t>
      </w:r>
      <w:r>
        <w:rPr>
          <w:rFonts w:cs="Arial"/>
          <w:iCs/>
          <w:sz w:val="20"/>
          <w:szCs w:val="20"/>
        </w:rPr>
        <w:t>from</w:t>
      </w:r>
      <w:r w:rsidRPr="00D80068">
        <w:rPr>
          <w:rFonts w:cs="Arial"/>
          <w:iCs/>
          <w:sz w:val="20"/>
          <w:szCs w:val="20"/>
        </w:rPr>
        <w:t xml:space="preserve"> Table 1 </w:t>
      </w:r>
      <w:r w:rsidRPr="00D80068">
        <w:rPr>
          <w:rFonts w:cs="Arial"/>
          <w:sz w:val="20"/>
          <w:szCs w:val="20"/>
        </w:rPr>
        <w:t>of Schedule 5</w:t>
      </w:r>
    </w:p>
    <w:p w14:paraId="7C80A593" w14:textId="77777777" w:rsidR="00023102" w:rsidRPr="00D80068" w:rsidRDefault="00023102" w:rsidP="00023102">
      <w:pPr>
        <w:tabs>
          <w:tab w:val="left" w:pos="851"/>
        </w:tabs>
        <w:rPr>
          <w:rFonts w:cs="Arial"/>
          <w:sz w:val="20"/>
          <w:szCs w:val="20"/>
        </w:rPr>
      </w:pPr>
    </w:p>
    <w:p w14:paraId="6E5CE7BE" w14:textId="77777777" w:rsidR="00023102" w:rsidRPr="00D80068" w:rsidRDefault="00023102" w:rsidP="00023102">
      <w:pPr>
        <w:tabs>
          <w:tab w:val="left" w:pos="851"/>
        </w:tabs>
        <w:rPr>
          <w:rFonts w:cs="Arial"/>
          <w:sz w:val="20"/>
          <w:szCs w:val="20"/>
        </w:rPr>
      </w:pPr>
      <w:r w:rsidRPr="00D80068">
        <w:rPr>
          <w:rFonts w:cs="Arial"/>
          <w:sz w:val="20"/>
          <w:szCs w:val="20"/>
        </w:rPr>
        <w:t>[5.2]</w:t>
      </w:r>
      <w:r w:rsidRPr="00D80068">
        <w:rPr>
          <w:rFonts w:cs="Arial"/>
          <w:sz w:val="20"/>
          <w:szCs w:val="20"/>
        </w:rPr>
        <w:tab/>
        <w:t xml:space="preserve">omitting </w:t>
      </w:r>
      <w:r w:rsidRPr="00D80068">
        <w:rPr>
          <w:rFonts w:cs="Arial"/>
          <w:iCs/>
          <w:sz w:val="20"/>
          <w:szCs w:val="20"/>
        </w:rPr>
        <w:t xml:space="preserve">“total” </w:t>
      </w:r>
      <w:r>
        <w:rPr>
          <w:rFonts w:cs="Arial"/>
          <w:iCs/>
          <w:sz w:val="20"/>
          <w:szCs w:val="20"/>
        </w:rPr>
        <w:t>from</w:t>
      </w:r>
      <w:r w:rsidRPr="00D80068">
        <w:rPr>
          <w:rFonts w:cs="Arial"/>
          <w:iCs/>
          <w:sz w:val="20"/>
          <w:szCs w:val="20"/>
        </w:rPr>
        <w:t xml:space="preserve"> Table 2 </w:t>
      </w:r>
      <w:r w:rsidRPr="00D80068">
        <w:rPr>
          <w:rFonts w:cs="Arial"/>
          <w:sz w:val="20"/>
          <w:szCs w:val="20"/>
        </w:rPr>
        <w:t>of Schedule 5</w:t>
      </w:r>
    </w:p>
    <w:p w14:paraId="7D336113" w14:textId="77777777" w:rsidR="00023102" w:rsidRPr="00D80068" w:rsidRDefault="00023102" w:rsidP="00023102">
      <w:pPr>
        <w:tabs>
          <w:tab w:val="left" w:pos="851"/>
        </w:tabs>
        <w:rPr>
          <w:rFonts w:cs="Arial"/>
          <w:sz w:val="20"/>
          <w:szCs w:val="20"/>
        </w:rPr>
      </w:pPr>
    </w:p>
    <w:p w14:paraId="37201C40" w14:textId="3BAFD3E6" w:rsidR="00023102" w:rsidRPr="00D80068" w:rsidRDefault="00023102" w:rsidP="00023102">
      <w:pPr>
        <w:tabs>
          <w:tab w:val="left" w:pos="851"/>
        </w:tabs>
        <w:rPr>
          <w:iCs/>
          <w:sz w:val="20"/>
          <w:szCs w:val="20"/>
        </w:rPr>
      </w:pPr>
      <w:r w:rsidRPr="00D80068">
        <w:rPr>
          <w:rFonts w:cs="Arial"/>
          <w:sz w:val="20"/>
          <w:szCs w:val="20"/>
        </w:rPr>
        <w:t>[5.3]</w:t>
      </w:r>
      <w:r w:rsidRPr="00D80068">
        <w:rPr>
          <w:rFonts w:cs="Arial"/>
          <w:sz w:val="20"/>
          <w:szCs w:val="20"/>
        </w:rPr>
        <w:tab/>
        <w:t xml:space="preserve">omitting </w:t>
      </w:r>
      <w:r w:rsidRPr="00D80068">
        <w:rPr>
          <w:sz w:val="20"/>
          <w:szCs w:val="20"/>
        </w:rPr>
        <w:t>“</w:t>
      </w:r>
      <w:r w:rsidRPr="00D80068">
        <w:rPr>
          <w:iCs/>
          <w:sz w:val="20"/>
          <w:szCs w:val="20"/>
        </w:rPr>
        <w:t>the content of energy and each nutrient</w:t>
      </w:r>
      <w:r w:rsidRPr="00D80068">
        <w:rPr>
          <w:sz w:val="20"/>
          <w:szCs w:val="20"/>
        </w:rPr>
        <w:t>” from section S5</w:t>
      </w:r>
      <w:r w:rsidRPr="00D80068">
        <w:rPr>
          <w:rFonts w:cs="Arial"/>
        </w:rPr>
        <w:t>—</w:t>
      </w:r>
      <w:r w:rsidRPr="00D80068">
        <w:rPr>
          <w:sz w:val="20"/>
          <w:szCs w:val="20"/>
        </w:rPr>
        <w:t>3</w:t>
      </w:r>
      <w:r w:rsidR="00136ED8">
        <w:rPr>
          <w:sz w:val="20"/>
          <w:szCs w:val="20"/>
        </w:rPr>
        <w:t xml:space="preserve"> and</w:t>
      </w:r>
      <w:r w:rsidRPr="00D80068">
        <w:rPr>
          <w:sz w:val="20"/>
          <w:szCs w:val="20"/>
        </w:rPr>
        <w:t xml:space="preserve"> substituting </w:t>
      </w:r>
      <w:r w:rsidRPr="00D80068">
        <w:rPr>
          <w:iCs/>
          <w:sz w:val="20"/>
          <w:szCs w:val="20"/>
        </w:rPr>
        <w:t>“the average energy content and the average quantity of each nutrient”</w:t>
      </w:r>
    </w:p>
    <w:p w14:paraId="65E890F3" w14:textId="77777777" w:rsidR="00023102" w:rsidRPr="00D80068" w:rsidRDefault="00023102" w:rsidP="00023102">
      <w:pPr>
        <w:rPr>
          <w:iCs/>
          <w:sz w:val="20"/>
        </w:rPr>
      </w:pPr>
    </w:p>
    <w:p w14:paraId="260DA1FB" w14:textId="6360E642" w:rsidR="00023102" w:rsidRPr="00D80068" w:rsidRDefault="00023102" w:rsidP="00023102">
      <w:pPr>
        <w:tabs>
          <w:tab w:val="left" w:pos="851"/>
        </w:tabs>
        <w:rPr>
          <w:sz w:val="20"/>
          <w:szCs w:val="20"/>
        </w:rPr>
      </w:pPr>
      <w:r w:rsidRPr="00D80068">
        <w:rPr>
          <w:rFonts w:cs="Arial"/>
          <w:sz w:val="20"/>
          <w:szCs w:val="20"/>
        </w:rPr>
        <w:t>[5.4]</w:t>
      </w:r>
      <w:r w:rsidRPr="00D80068">
        <w:rPr>
          <w:rFonts w:cs="Arial"/>
          <w:sz w:val="20"/>
          <w:szCs w:val="20"/>
        </w:rPr>
        <w:tab/>
        <w:t xml:space="preserve">omitting </w:t>
      </w:r>
      <w:r w:rsidRPr="00D80068">
        <w:rPr>
          <w:sz w:val="20"/>
          <w:szCs w:val="20"/>
        </w:rPr>
        <w:t>“</w:t>
      </w:r>
      <w:r w:rsidRPr="00D80068">
        <w:rPr>
          <w:b/>
          <w:i/>
          <w:sz w:val="20"/>
          <w:szCs w:val="20"/>
        </w:rPr>
        <w:t xml:space="preserve">AEC </w:t>
      </w:r>
      <w:r w:rsidRPr="00D80068">
        <w:rPr>
          <w:sz w:val="20"/>
          <w:szCs w:val="20"/>
        </w:rPr>
        <w:t>is the number of points for average energy content” from section S5</w:t>
      </w:r>
      <w:r w:rsidRPr="00D80068">
        <w:rPr>
          <w:rFonts w:cs="Arial"/>
        </w:rPr>
        <w:t>—</w:t>
      </w:r>
      <w:r w:rsidRPr="00D80068">
        <w:rPr>
          <w:sz w:val="20"/>
          <w:szCs w:val="20"/>
        </w:rPr>
        <w:t>3</w:t>
      </w:r>
      <w:r w:rsidR="00136ED8">
        <w:rPr>
          <w:sz w:val="20"/>
          <w:szCs w:val="20"/>
        </w:rPr>
        <w:t xml:space="preserve"> and</w:t>
      </w:r>
      <w:r w:rsidRPr="00D80068">
        <w:rPr>
          <w:sz w:val="20"/>
          <w:szCs w:val="20"/>
        </w:rPr>
        <w:t xml:space="preserve"> substituting </w:t>
      </w:r>
      <w:r w:rsidRPr="00D80068">
        <w:rPr>
          <w:iCs/>
          <w:sz w:val="20"/>
          <w:szCs w:val="20"/>
        </w:rPr>
        <w:t>“</w:t>
      </w:r>
      <w:r w:rsidRPr="00D80068">
        <w:rPr>
          <w:b/>
          <w:i/>
          <w:sz w:val="20"/>
          <w:szCs w:val="20"/>
        </w:rPr>
        <w:t xml:space="preserve">AEC </w:t>
      </w:r>
      <w:r w:rsidRPr="00D80068">
        <w:rPr>
          <w:sz w:val="20"/>
          <w:szCs w:val="20"/>
        </w:rPr>
        <w:t>is the number of points for the average energy content in the unit quantity of the food</w:t>
      </w:r>
      <w:r w:rsidRPr="00D80068">
        <w:rPr>
          <w:iCs/>
          <w:sz w:val="20"/>
          <w:szCs w:val="20"/>
        </w:rPr>
        <w:t>”</w:t>
      </w:r>
    </w:p>
    <w:p w14:paraId="740BDCA4" w14:textId="77777777" w:rsidR="00023102" w:rsidRPr="00D80068" w:rsidRDefault="00023102" w:rsidP="00023102">
      <w:pPr>
        <w:tabs>
          <w:tab w:val="left" w:pos="851"/>
        </w:tabs>
        <w:rPr>
          <w:rFonts w:cs="Arial"/>
          <w:sz w:val="20"/>
          <w:szCs w:val="20"/>
        </w:rPr>
      </w:pPr>
      <w:r w:rsidRPr="00D80068">
        <w:rPr>
          <w:rFonts w:cs="Arial"/>
          <w:sz w:val="20"/>
          <w:szCs w:val="20"/>
        </w:rPr>
        <w:t xml:space="preserve"> </w:t>
      </w:r>
    </w:p>
    <w:p w14:paraId="061C8434" w14:textId="176E6BAA" w:rsidR="00023102" w:rsidRPr="00D80068" w:rsidRDefault="00023102" w:rsidP="00023102">
      <w:pPr>
        <w:tabs>
          <w:tab w:val="left" w:pos="851"/>
        </w:tabs>
        <w:rPr>
          <w:iCs/>
          <w:sz w:val="20"/>
          <w:szCs w:val="20"/>
        </w:rPr>
      </w:pPr>
      <w:r w:rsidRPr="00D80068">
        <w:rPr>
          <w:rFonts w:cs="Arial"/>
          <w:sz w:val="20"/>
          <w:szCs w:val="20"/>
        </w:rPr>
        <w:t>[5.5]</w:t>
      </w:r>
      <w:r w:rsidRPr="00D80068">
        <w:rPr>
          <w:rFonts w:cs="Arial"/>
          <w:sz w:val="20"/>
          <w:szCs w:val="20"/>
        </w:rPr>
        <w:tab/>
        <w:t xml:space="preserve">omitting </w:t>
      </w:r>
      <w:r w:rsidRPr="00D80068">
        <w:rPr>
          <w:sz w:val="20"/>
          <w:szCs w:val="20"/>
        </w:rPr>
        <w:t>“</w:t>
      </w:r>
      <w:r w:rsidRPr="00D80068">
        <w:rPr>
          <w:b/>
          <w:i/>
          <w:sz w:val="20"/>
          <w:szCs w:val="20"/>
        </w:rPr>
        <w:t xml:space="preserve">ASFA </w:t>
      </w:r>
      <w:r w:rsidRPr="00D80068">
        <w:rPr>
          <w:sz w:val="20"/>
          <w:szCs w:val="20"/>
        </w:rPr>
        <w:t>is the number of points for average saturated fatty acids” from section S5</w:t>
      </w:r>
      <w:r w:rsidRPr="00D80068">
        <w:rPr>
          <w:rFonts w:cs="Arial"/>
        </w:rPr>
        <w:t>—</w:t>
      </w:r>
      <w:r w:rsidRPr="00D80068">
        <w:rPr>
          <w:sz w:val="20"/>
          <w:szCs w:val="20"/>
        </w:rPr>
        <w:t>3</w:t>
      </w:r>
      <w:r w:rsidR="00136ED8">
        <w:rPr>
          <w:sz w:val="20"/>
          <w:szCs w:val="20"/>
        </w:rPr>
        <w:t xml:space="preserve"> and</w:t>
      </w:r>
      <w:r w:rsidRPr="00D80068">
        <w:rPr>
          <w:sz w:val="20"/>
          <w:szCs w:val="20"/>
        </w:rPr>
        <w:t xml:space="preserve"> substituting </w:t>
      </w:r>
      <w:r w:rsidRPr="00D80068">
        <w:rPr>
          <w:iCs/>
          <w:sz w:val="20"/>
          <w:szCs w:val="20"/>
        </w:rPr>
        <w:t>“</w:t>
      </w:r>
      <w:r w:rsidRPr="00D80068">
        <w:rPr>
          <w:b/>
          <w:i/>
          <w:sz w:val="20"/>
          <w:szCs w:val="20"/>
        </w:rPr>
        <w:t xml:space="preserve">ASFA </w:t>
      </w:r>
      <w:r w:rsidRPr="00D80068">
        <w:rPr>
          <w:sz w:val="20"/>
          <w:szCs w:val="20"/>
        </w:rPr>
        <w:t>is the number of points for the average quantity of saturated fatty acids in the unit quantity of the food</w:t>
      </w:r>
      <w:r w:rsidRPr="00D80068">
        <w:rPr>
          <w:iCs/>
          <w:sz w:val="20"/>
          <w:szCs w:val="20"/>
        </w:rPr>
        <w:t>”</w:t>
      </w:r>
    </w:p>
    <w:p w14:paraId="0F0885B4" w14:textId="77777777" w:rsidR="00023102" w:rsidRPr="00D80068" w:rsidRDefault="00023102" w:rsidP="00023102">
      <w:pPr>
        <w:rPr>
          <w:iCs/>
          <w:sz w:val="20"/>
          <w:szCs w:val="20"/>
        </w:rPr>
      </w:pPr>
    </w:p>
    <w:p w14:paraId="54FDF074" w14:textId="02250BA3" w:rsidR="00023102" w:rsidRPr="00D80068" w:rsidRDefault="00023102" w:rsidP="00023102">
      <w:pPr>
        <w:tabs>
          <w:tab w:val="left" w:pos="851"/>
        </w:tabs>
        <w:rPr>
          <w:sz w:val="20"/>
          <w:szCs w:val="20"/>
        </w:rPr>
      </w:pPr>
      <w:r w:rsidRPr="00D80068">
        <w:rPr>
          <w:rFonts w:cs="Arial"/>
          <w:sz w:val="20"/>
          <w:szCs w:val="20"/>
        </w:rPr>
        <w:t>[5.6]</w:t>
      </w:r>
      <w:r w:rsidRPr="00D80068">
        <w:rPr>
          <w:rFonts w:cs="Arial"/>
          <w:sz w:val="20"/>
          <w:szCs w:val="20"/>
        </w:rPr>
        <w:tab/>
        <w:t xml:space="preserve">omitting </w:t>
      </w:r>
      <w:r w:rsidRPr="00D80068">
        <w:rPr>
          <w:sz w:val="20"/>
          <w:szCs w:val="20"/>
        </w:rPr>
        <w:t>“</w:t>
      </w:r>
      <w:r w:rsidRPr="00D80068">
        <w:rPr>
          <w:b/>
          <w:i/>
          <w:sz w:val="20"/>
          <w:szCs w:val="20"/>
        </w:rPr>
        <w:t xml:space="preserve">ATS </w:t>
      </w:r>
      <w:r w:rsidRPr="00D80068">
        <w:rPr>
          <w:sz w:val="20"/>
          <w:szCs w:val="20"/>
        </w:rPr>
        <w:t>is the number of points for average total sugars” from section S5</w:t>
      </w:r>
      <w:r w:rsidRPr="00D80068">
        <w:rPr>
          <w:rFonts w:cs="Arial"/>
        </w:rPr>
        <w:t>—</w:t>
      </w:r>
      <w:r w:rsidRPr="00D80068">
        <w:rPr>
          <w:sz w:val="20"/>
          <w:szCs w:val="20"/>
        </w:rPr>
        <w:t>3</w:t>
      </w:r>
      <w:r w:rsidR="00136ED8">
        <w:rPr>
          <w:sz w:val="20"/>
          <w:szCs w:val="20"/>
        </w:rPr>
        <w:t xml:space="preserve"> and </w:t>
      </w:r>
      <w:r w:rsidRPr="00D80068">
        <w:rPr>
          <w:sz w:val="20"/>
          <w:szCs w:val="20"/>
        </w:rPr>
        <w:t xml:space="preserve">substituting </w:t>
      </w:r>
      <w:r w:rsidRPr="00D80068">
        <w:rPr>
          <w:iCs/>
          <w:sz w:val="20"/>
          <w:szCs w:val="20"/>
        </w:rPr>
        <w:t>“</w:t>
      </w:r>
      <w:r w:rsidRPr="00D80068">
        <w:rPr>
          <w:b/>
          <w:i/>
          <w:sz w:val="20"/>
          <w:szCs w:val="20"/>
        </w:rPr>
        <w:t xml:space="preserve">ATS </w:t>
      </w:r>
      <w:r w:rsidRPr="00D80068">
        <w:rPr>
          <w:sz w:val="20"/>
          <w:szCs w:val="20"/>
        </w:rPr>
        <w:t>is the number of points for the average quantity of sugars in the unit quantity of the food</w:t>
      </w:r>
      <w:r w:rsidRPr="00D80068">
        <w:rPr>
          <w:iCs/>
          <w:sz w:val="20"/>
          <w:szCs w:val="20"/>
        </w:rPr>
        <w:t>”</w:t>
      </w:r>
    </w:p>
    <w:p w14:paraId="2CFE7679" w14:textId="77777777" w:rsidR="00023102" w:rsidRPr="00D80068" w:rsidRDefault="00023102" w:rsidP="00023102">
      <w:pPr>
        <w:tabs>
          <w:tab w:val="left" w:pos="851"/>
        </w:tabs>
        <w:rPr>
          <w:iCs/>
          <w:sz w:val="20"/>
          <w:szCs w:val="20"/>
        </w:rPr>
      </w:pPr>
    </w:p>
    <w:p w14:paraId="3913BBC0" w14:textId="623C2C80" w:rsidR="00023102" w:rsidRPr="00D80068" w:rsidRDefault="00023102" w:rsidP="00023102">
      <w:pPr>
        <w:tabs>
          <w:tab w:val="left" w:pos="851"/>
        </w:tabs>
        <w:rPr>
          <w:sz w:val="20"/>
          <w:szCs w:val="20"/>
        </w:rPr>
      </w:pPr>
      <w:r w:rsidRPr="00D80068">
        <w:rPr>
          <w:rFonts w:cs="Arial"/>
          <w:sz w:val="20"/>
          <w:szCs w:val="20"/>
        </w:rPr>
        <w:t>[5.7]</w:t>
      </w:r>
      <w:r w:rsidRPr="00D80068">
        <w:rPr>
          <w:rFonts w:cs="Arial"/>
          <w:sz w:val="20"/>
          <w:szCs w:val="20"/>
        </w:rPr>
        <w:tab/>
        <w:t xml:space="preserve">omitting </w:t>
      </w:r>
      <w:r w:rsidRPr="00D80068">
        <w:rPr>
          <w:sz w:val="20"/>
          <w:szCs w:val="20"/>
        </w:rPr>
        <w:t>“</w:t>
      </w:r>
      <w:r w:rsidRPr="00D80068">
        <w:rPr>
          <w:b/>
          <w:i/>
          <w:sz w:val="20"/>
          <w:szCs w:val="20"/>
        </w:rPr>
        <w:t xml:space="preserve">AS </w:t>
      </w:r>
      <w:r w:rsidRPr="00D80068">
        <w:rPr>
          <w:sz w:val="20"/>
          <w:szCs w:val="20"/>
        </w:rPr>
        <w:t>is the number of points for average sodium” from section S5</w:t>
      </w:r>
      <w:r w:rsidRPr="00D80068">
        <w:rPr>
          <w:rFonts w:cs="Arial"/>
        </w:rPr>
        <w:t>—</w:t>
      </w:r>
      <w:r w:rsidRPr="00D80068">
        <w:rPr>
          <w:sz w:val="20"/>
          <w:szCs w:val="20"/>
        </w:rPr>
        <w:t>3</w:t>
      </w:r>
      <w:r w:rsidR="00136ED8">
        <w:rPr>
          <w:sz w:val="20"/>
          <w:szCs w:val="20"/>
        </w:rPr>
        <w:t xml:space="preserve"> and </w:t>
      </w:r>
      <w:r w:rsidRPr="00D80068">
        <w:rPr>
          <w:sz w:val="20"/>
          <w:szCs w:val="20"/>
        </w:rPr>
        <w:t xml:space="preserve">substituting </w:t>
      </w:r>
      <w:r w:rsidRPr="00D80068">
        <w:rPr>
          <w:iCs/>
          <w:sz w:val="20"/>
          <w:szCs w:val="20"/>
        </w:rPr>
        <w:t>“</w:t>
      </w:r>
      <w:r w:rsidRPr="00D80068">
        <w:rPr>
          <w:b/>
          <w:i/>
          <w:sz w:val="20"/>
          <w:szCs w:val="20"/>
        </w:rPr>
        <w:t xml:space="preserve">AS </w:t>
      </w:r>
      <w:r w:rsidRPr="00D80068">
        <w:rPr>
          <w:sz w:val="20"/>
          <w:szCs w:val="20"/>
        </w:rPr>
        <w:t>is the number of points for the average quantity of sodium in the unit quantity of the food”</w:t>
      </w:r>
    </w:p>
    <w:p w14:paraId="45168CA4" w14:textId="77777777" w:rsidR="00023102" w:rsidRPr="00D80068" w:rsidRDefault="00023102" w:rsidP="00023102">
      <w:pPr>
        <w:rPr>
          <w:rFonts w:cs="Arial"/>
          <w:sz w:val="20"/>
          <w:szCs w:val="20"/>
        </w:rPr>
      </w:pPr>
    </w:p>
    <w:p w14:paraId="0D1E4BE5" w14:textId="77777777" w:rsidR="00023102" w:rsidRPr="00D80068" w:rsidRDefault="00023102" w:rsidP="00023102">
      <w:pPr>
        <w:tabs>
          <w:tab w:val="left" w:pos="851"/>
        </w:tabs>
        <w:rPr>
          <w:rFonts w:cs="Arial"/>
          <w:sz w:val="20"/>
          <w:szCs w:val="20"/>
        </w:rPr>
      </w:pPr>
      <w:r w:rsidRPr="00D80068">
        <w:rPr>
          <w:rFonts w:cs="Arial"/>
          <w:sz w:val="20"/>
          <w:szCs w:val="20"/>
        </w:rPr>
        <w:t>[5.8]</w:t>
      </w:r>
      <w:r w:rsidRPr="00D80068">
        <w:rPr>
          <w:rFonts w:cs="Arial"/>
          <w:sz w:val="20"/>
          <w:szCs w:val="20"/>
        </w:rPr>
        <w:tab/>
        <w:t>omitting “sources” wherever occurring in section S5—4</w:t>
      </w:r>
    </w:p>
    <w:p w14:paraId="5E523B46" w14:textId="77777777" w:rsidR="00023102" w:rsidRPr="00D80068" w:rsidRDefault="00023102" w:rsidP="00023102">
      <w:pPr>
        <w:tabs>
          <w:tab w:val="left" w:pos="851"/>
        </w:tabs>
        <w:rPr>
          <w:rFonts w:cs="Arial"/>
          <w:sz w:val="20"/>
          <w:szCs w:val="20"/>
        </w:rPr>
      </w:pPr>
    </w:p>
    <w:p w14:paraId="13B8D748" w14:textId="77777777" w:rsidR="00023102" w:rsidRPr="00D80068" w:rsidRDefault="00023102" w:rsidP="00023102">
      <w:pPr>
        <w:tabs>
          <w:tab w:val="left" w:pos="851"/>
        </w:tabs>
        <w:rPr>
          <w:rFonts w:cs="Arial"/>
          <w:sz w:val="20"/>
          <w:szCs w:val="20"/>
        </w:rPr>
      </w:pPr>
      <w:r w:rsidRPr="00D80068">
        <w:rPr>
          <w:rFonts w:cs="Arial"/>
          <w:sz w:val="20"/>
          <w:szCs w:val="20"/>
        </w:rPr>
        <w:t>[5.9]</w:t>
      </w:r>
      <w:r w:rsidRPr="00D80068">
        <w:rPr>
          <w:rFonts w:cs="Arial"/>
          <w:sz w:val="20"/>
          <w:szCs w:val="20"/>
        </w:rPr>
        <w:tab/>
        <w:t>omitting subsection S5—5(1)</w:t>
      </w:r>
      <w:r>
        <w:rPr>
          <w:rFonts w:cs="Arial"/>
          <w:sz w:val="20"/>
          <w:szCs w:val="20"/>
        </w:rPr>
        <w:t xml:space="preserve"> and</w:t>
      </w:r>
      <w:r w:rsidRPr="00D80068">
        <w:rPr>
          <w:rFonts w:cs="Arial"/>
          <w:sz w:val="20"/>
          <w:szCs w:val="20"/>
        </w:rPr>
        <w:t xml:space="preserve"> substituting</w:t>
      </w:r>
    </w:p>
    <w:p w14:paraId="35279962" w14:textId="77777777" w:rsidR="00023102" w:rsidRDefault="00023102" w:rsidP="00023102">
      <w:pPr>
        <w:pStyle w:val="FSCtMain"/>
        <w:rPr>
          <w:rFonts w:eastAsia="Calibri"/>
        </w:rPr>
      </w:pPr>
      <w:r>
        <w:tab/>
        <w:t>“(1)</w:t>
      </w:r>
      <w:r w:rsidRPr="00D80068">
        <w:tab/>
      </w:r>
      <w:r w:rsidRPr="00D80068">
        <w:rPr>
          <w:rFonts w:eastAsia="Calibri"/>
        </w:rPr>
        <w:t>Use Table 4 to determine the ‘P points’ scored, depending on the average quantity of protein in 100 g or 100 mL of the food product (based on the units used in the nutrition information panel).  A maximum of five points can be awarded.”</w:t>
      </w:r>
      <w:r>
        <w:rPr>
          <w:rFonts w:eastAsia="Calibri"/>
        </w:rPr>
        <w:br w:type="page"/>
      </w:r>
    </w:p>
    <w:p w14:paraId="4B340F3B" w14:textId="77777777" w:rsidR="00023102" w:rsidRPr="00D80068" w:rsidRDefault="00023102" w:rsidP="00023102">
      <w:pPr>
        <w:tabs>
          <w:tab w:val="left" w:pos="851"/>
        </w:tabs>
        <w:rPr>
          <w:rFonts w:cs="Arial"/>
          <w:sz w:val="20"/>
          <w:szCs w:val="20"/>
        </w:rPr>
      </w:pPr>
      <w:r w:rsidRPr="00D80068">
        <w:rPr>
          <w:rFonts w:cs="Arial"/>
          <w:sz w:val="20"/>
          <w:szCs w:val="20"/>
        </w:rPr>
        <w:lastRenderedPageBreak/>
        <w:t>[5.10]</w:t>
      </w:r>
      <w:r w:rsidRPr="00D80068">
        <w:rPr>
          <w:rFonts w:cs="Arial"/>
          <w:sz w:val="20"/>
          <w:szCs w:val="20"/>
        </w:rPr>
        <w:tab/>
        <w:t>omitting subsection S5—6(1)</w:t>
      </w:r>
      <w:r>
        <w:rPr>
          <w:rFonts w:cs="Arial"/>
          <w:sz w:val="20"/>
          <w:szCs w:val="20"/>
        </w:rPr>
        <w:t xml:space="preserve"> and</w:t>
      </w:r>
      <w:r w:rsidRPr="00D80068">
        <w:rPr>
          <w:rFonts w:cs="Arial"/>
          <w:sz w:val="20"/>
          <w:szCs w:val="20"/>
        </w:rPr>
        <w:t xml:space="preserve"> substituting</w:t>
      </w:r>
    </w:p>
    <w:p w14:paraId="273920FA" w14:textId="77777777" w:rsidR="00023102" w:rsidRPr="00D80068" w:rsidRDefault="00023102" w:rsidP="00023102">
      <w:pPr>
        <w:pStyle w:val="FSCtMain"/>
        <w:rPr>
          <w:rFonts w:eastAsia="Calibri"/>
        </w:rPr>
      </w:pPr>
      <w:r>
        <w:tab/>
      </w:r>
      <w:r w:rsidRPr="00D80068">
        <w:t>“(1)</w:t>
      </w:r>
      <w:r w:rsidRPr="00D80068">
        <w:tab/>
      </w:r>
      <w:r w:rsidRPr="00D80068">
        <w:rPr>
          <w:rFonts w:eastAsia="Calibri"/>
        </w:rPr>
        <w:t xml:space="preserve">Use Table 5 to determine the ‘F points’ scored, depending on the average quantity of </w:t>
      </w:r>
      <w:r w:rsidRPr="00D80068">
        <w:t>*</w:t>
      </w:r>
      <w:r w:rsidRPr="00D80068">
        <w:rPr>
          <w:rFonts w:eastAsia="Calibri"/>
        </w:rPr>
        <w:t>dietary fibre in 100 g or 100 mL of the food product (based on the units used in the nutrition information panel).  A maximum of five points can be awarded.”</w:t>
      </w:r>
    </w:p>
    <w:p w14:paraId="55B2E8CA" w14:textId="5777DC74" w:rsidR="00023102" w:rsidRDefault="00023102" w:rsidP="00023102">
      <w:pPr>
        <w:tabs>
          <w:tab w:val="left" w:pos="851"/>
        </w:tabs>
        <w:rPr>
          <w:sz w:val="20"/>
          <w:szCs w:val="20"/>
        </w:rPr>
      </w:pPr>
      <w:r w:rsidRPr="00D80068">
        <w:rPr>
          <w:rFonts w:cs="Arial"/>
          <w:b/>
          <w:sz w:val="20"/>
          <w:szCs w:val="20"/>
        </w:rPr>
        <w:t>[6]</w:t>
      </w:r>
      <w:r w:rsidRPr="00D80068">
        <w:rPr>
          <w:rFonts w:cs="Arial"/>
          <w:b/>
          <w:sz w:val="20"/>
          <w:szCs w:val="20"/>
        </w:rPr>
        <w:tab/>
        <w:t>Schedule 12</w:t>
      </w:r>
      <w:r w:rsidRPr="00D80068">
        <w:rPr>
          <w:rFonts w:cs="Arial"/>
          <w:sz w:val="20"/>
          <w:szCs w:val="20"/>
        </w:rPr>
        <w:t xml:space="preserve"> is varied by omitting “</w:t>
      </w:r>
      <w:r w:rsidRPr="00D80068">
        <w:rPr>
          <w:sz w:val="20"/>
          <w:szCs w:val="20"/>
        </w:rPr>
        <w:t xml:space="preserve">1.2.8—6(3) and 1.2.8—6(5)” from </w:t>
      </w:r>
      <w:r w:rsidRPr="00D80068">
        <w:rPr>
          <w:rFonts w:cs="Arial"/>
          <w:sz w:val="20"/>
          <w:szCs w:val="20"/>
        </w:rPr>
        <w:t>section S12—3</w:t>
      </w:r>
      <w:r>
        <w:rPr>
          <w:rFonts w:cs="Arial"/>
          <w:sz w:val="20"/>
          <w:szCs w:val="20"/>
        </w:rPr>
        <w:t xml:space="preserve"> and</w:t>
      </w:r>
      <w:r w:rsidRPr="00D80068">
        <w:rPr>
          <w:rFonts w:cs="Arial"/>
          <w:sz w:val="20"/>
          <w:szCs w:val="20"/>
        </w:rPr>
        <w:t xml:space="preserve"> substituting “</w:t>
      </w:r>
      <w:r w:rsidRPr="00D80068">
        <w:rPr>
          <w:sz w:val="20"/>
          <w:szCs w:val="20"/>
        </w:rPr>
        <w:t xml:space="preserve">1.2.8—6(3), 1.2.8—6(5), 1.2.8—6(11), 1.2.8—6(12) and </w:t>
      </w:r>
      <w:r w:rsidR="00136ED8">
        <w:rPr>
          <w:sz w:val="20"/>
          <w:szCs w:val="20"/>
        </w:rPr>
        <w:t>1</w:t>
      </w:r>
      <w:r w:rsidRPr="00D80068">
        <w:rPr>
          <w:sz w:val="20"/>
          <w:szCs w:val="20"/>
        </w:rPr>
        <w:t>.2.8—6(13)”</w:t>
      </w:r>
    </w:p>
    <w:p w14:paraId="4B9982A5" w14:textId="77777777" w:rsidR="00023102" w:rsidRPr="00D80068" w:rsidRDefault="00023102" w:rsidP="00023102">
      <w:pPr>
        <w:tabs>
          <w:tab w:val="left" w:pos="851"/>
        </w:tabs>
        <w:rPr>
          <w:rFonts w:cs="Arial"/>
          <w:b/>
          <w:sz w:val="20"/>
          <w:szCs w:val="20"/>
        </w:rPr>
      </w:pPr>
    </w:p>
    <w:p w14:paraId="5B35D80B" w14:textId="7E32C222" w:rsidR="00023102" w:rsidRPr="00D80068" w:rsidRDefault="00023102" w:rsidP="00023102">
      <w:pPr>
        <w:tabs>
          <w:tab w:val="left" w:pos="851"/>
        </w:tabs>
        <w:rPr>
          <w:rFonts w:cs="Arial"/>
          <w:sz w:val="20"/>
          <w:szCs w:val="20"/>
        </w:rPr>
      </w:pPr>
      <w:r w:rsidRPr="00D80068">
        <w:rPr>
          <w:rFonts w:cs="Arial"/>
          <w:b/>
          <w:sz w:val="20"/>
          <w:szCs w:val="20"/>
        </w:rPr>
        <w:t>[7]</w:t>
      </w:r>
      <w:r w:rsidRPr="00D80068">
        <w:rPr>
          <w:rFonts w:cs="Arial"/>
          <w:b/>
          <w:sz w:val="20"/>
          <w:szCs w:val="20"/>
        </w:rPr>
        <w:tab/>
        <w:t>Schedule 13</w:t>
      </w:r>
      <w:r w:rsidRPr="00D80068">
        <w:rPr>
          <w:rFonts w:cs="Arial"/>
          <w:sz w:val="20"/>
          <w:szCs w:val="20"/>
        </w:rPr>
        <w:t xml:space="preserve"> is varied by omitting the table to section S13—2</w:t>
      </w:r>
      <w:r w:rsidR="00136ED8">
        <w:rPr>
          <w:rFonts w:cs="Arial"/>
          <w:sz w:val="20"/>
          <w:szCs w:val="20"/>
        </w:rPr>
        <w:t xml:space="preserve"> and </w:t>
      </w:r>
      <w:r w:rsidRPr="00D80068">
        <w:rPr>
          <w:rFonts w:cs="Arial"/>
          <w:sz w:val="20"/>
          <w:szCs w:val="20"/>
        </w:rPr>
        <w:t>substituting</w:t>
      </w:r>
    </w:p>
    <w:p w14:paraId="3BAE119C" w14:textId="77777777" w:rsidR="00023102" w:rsidRPr="00D80068" w:rsidRDefault="00023102" w:rsidP="00023102">
      <w:pPr>
        <w:pStyle w:val="FSCtblBh2"/>
      </w:pPr>
      <w:r w:rsidRPr="00113C17">
        <w:t>“</w:t>
      </w:r>
      <w:r w:rsidRPr="00D80068">
        <w:t>Nutrition information for food in small packages</w:t>
      </w:r>
    </w:p>
    <w:tbl>
      <w:tblPr>
        <w:tblStyle w:val="TableGrid1"/>
        <w:tblW w:w="9072" w:type="dxa"/>
        <w:jc w:val="center"/>
        <w:tblLook w:val="04A0" w:firstRow="1" w:lastRow="0" w:firstColumn="1" w:lastColumn="0" w:noHBand="0" w:noVBand="1"/>
      </w:tblPr>
      <w:tblGrid>
        <w:gridCol w:w="4865"/>
        <w:gridCol w:w="4207"/>
      </w:tblGrid>
      <w:tr w:rsidR="00023102" w:rsidRPr="00D80068" w14:paraId="26200889" w14:textId="77777777" w:rsidTr="003D609A">
        <w:trPr>
          <w:tblHeader/>
          <w:jc w:val="center"/>
        </w:trPr>
        <w:tc>
          <w:tcPr>
            <w:tcW w:w="4865" w:type="dxa"/>
            <w:tcBorders>
              <w:top w:val="single" w:sz="4" w:space="0" w:color="auto"/>
              <w:left w:val="nil"/>
              <w:bottom w:val="single" w:sz="4" w:space="0" w:color="auto"/>
              <w:right w:val="nil"/>
            </w:tcBorders>
            <w:hideMark/>
          </w:tcPr>
          <w:p w14:paraId="1FE671EE" w14:textId="77777777" w:rsidR="00023102" w:rsidRPr="00D80068" w:rsidRDefault="00023102" w:rsidP="003D609A">
            <w:pPr>
              <w:pStyle w:val="FSCtblBh3"/>
              <w:ind w:left="35"/>
            </w:pPr>
            <w:r w:rsidRPr="00D80068">
              <w:t>Column 1</w:t>
            </w:r>
          </w:p>
        </w:tc>
        <w:tc>
          <w:tcPr>
            <w:tcW w:w="4207" w:type="dxa"/>
            <w:tcBorders>
              <w:top w:val="single" w:sz="4" w:space="0" w:color="auto"/>
              <w:left w:val="nil"/>
              <w:bottom w:val="single" w:sz="4" w:space="0" w:color="auto"/>
              <w:right w:val="nil"/>
            </w:tcBorders>
            <w:hideMark/>
          </w:tcPr>
          <w:p w14:paraId="66AD6C49" w14:textId="77777777" w:rsidR="00023102" w:rsidRPr="00D80068" w:rsidRDefault="00023102" w:rsidP="003D609A">
            <w:pPr>
              <w:pStyle w:val="FSCtblBh3"/>
              <w:ind w:left="-10"/>
            </w:pPr>
            <w:r w:rsidRPr="00D80068">
              <w:t>Column 2</w:t>
            </w:r>
          </w:p>
        </w:tc>
      </w:tr>
      <w:tr w:rsidR="00023102" w:rsidRPr="00D80068" w14:paraId="073E5148" w14:textId="77777777" w:rsidTr="003D609A">
        <w:trPr>
          <w:tblHeader/>
          <w:jc w:val="center"/>
        </w:trPr>
        <w:tc>
          <w:tcPr>
            <w:tcW w:w="4865" w:type="dxa"/>
            <w:tcBorders>
              <w:top w:val="single" w:sz="4" w:space="0" w:color="auto"/>
              <w:left w:val="nil"/>
              <w:bottom w:val="single" w:sz="4" w:space="0" w:color="auto"/>
              <w:right w:val="nil"/>
            </w:tcBorders>
            <w:hideMark/>
          </w:tcPr>
          <w:p w14:paraId="35F42558" w14:textId="77777777" w:rsidR="00023102" w:rsidRPr="00D80068" w:rsidRDefault="00023102" w:rsidP="003D609A">
            <w:pPr>
              <w:pStyle w:val="FSCtblBh4"/>
              <w:ind w:left="35"/>
            </w:pPr>
            <w:r w:rsidRPr="00D80068">
              <w:t>Claim is about</w:t>
            </w:r>
          </w:p>
        </w:tc>
        <w:tc>
          <w:tcPr>
            <w:tcW w:w="4207" w:type="dxa"/>
            <w:tcBorders>
              <w:top w:val="single" w:sz="4" w:space="0" w:color="auto"/>
              <w:left w:val="nil"/>
              <w:bottom w:val="single" w:sz="4" w:space="0" w:color="auto"/>
              <w:right w:val="nil"/>
            </w:tcBorders>
            <w:hideMark/>
          </w:tcPr>
          <w:p w14:paraId="724975EF" w14:textId="77777777" w:rsidR="00023102" w:rsidRPr="00D80068" w:rsidRDefault="00023102" w:rsidP="003D609A">
            <w:pPr>
              <w:pStyle w:val="FSCtblBh4"/>
              <w:ind w:left="-10"/>
            </w:pPr>
            <w:r w:rsidRPr="00D80068">
              <w:t>Label must include</w:t>
            </w:r>
          </w:p>
        </w:tc>
      </w:tr>
      <w:tr w:rsidR="00023102" w:rsidRPr="00D80068" w14:paraId="678A9599" w14:textId="77777777" w:rsidTr="003D609A">
        <w:trPr>
          <w:cantSplit/>
          <w:jc w:val="center"/>
        </w:trPr>
        <w:tc>
          <w:tcPr>
            <w:tcW w:w="4865" w:type="dxa"/>
            <w:tcBorders>
              <w:top w:val="single" w:sz="4" w:space="0" w:color="auto"/>
              <w:left w:val="nil"/>
              <w:bottom w:val="nil"/>
              <w:right w:val="nil"/>
            </w:tcBorders>
            <w:hideMark/>
          </w:tcPr>
          <w:p w14:paraId="7CC0E994" w14:textId="77777777" w:rsidR="00023102" w:rsidRPr="00D80068" w:rsidRDefault="00023102" w:rsidP="003D609A">
            <w:pPr>
              <w:pStyle w:val="FSCtblAMain"/>
            </w:pPr>
            <w:r w:rsidRPr="00D80068">
              <w:t>Any nutrient or biologically active substance (other than a vitamin or mineral with a RDI)</w:t>
            </w:r>
          </w:p>
        </w:tc>
        <w:tc>
          <w:tcPr>
            <w:tcW w:w="4207" w:type="dxa"/>
            <w:tcBorders>
              <w:top w:val="single" w:sz="4" w:space="0" w:color="auto"/>
              <w:left w:val="nil"/>
              <w:bottom w:val="nil"/>
              <w:right w:val="nil"/>
            </w:tcBorders>
            <w:hideMark/>
          </w:tcPr>
          <w:p w14:paraId="0FCDDC56" w14:textId="77777777" w:rsidR="00023102" w:rsidRPr="00D80068" w:rsidRDefault="00023102" w:rsidP="003D609A">
            <w:pPr>
              <w:pStyle w:val="FSCtblAMain"/>
            </w:pPr>
            <w:r w:rsidRPr="00D80068">
              <w:t>Average quantity of the nutrient or biologically  active substance present per serving of the food</w:t>
            </w:r>
          </w:p>
        </w:tc>
      </w:tr>
      <w:tr w:rsidR="00023102" w:rsidRPr="00D80068" w14:paraId="5C550FE7" w14:textId="77777777" w:rsidTr="003D609A">
        <w:trPr>
          <w:cantSplit/>
          <w:jc w:val="center"/>
        </w:trPr>
        <w:tc>
          <w:tcPr>
            <w:tcW w:w="4865" w:type="dxa"/>
            <w:tcBorders>
              <w:top w:val="nil"/>
              <w:left w:val="nil"/>
              <w:bottom w:val="nil"/>
              <w:right w:val="nil"/>
            </w:tcBorders>
            <w:hideMark/>
          </w:tcPr>
          <w:p w14:paraId="4A99FDED" w14:textId="77777777" w:rsidR="00023102" w:rsidRPr="00D80068" w:rsidRDefault="00023102" w:rsidP="003D609A">
            <w:pPr>
              <w:pStyle w:val="FSCtblAMain"/>
            </w:pPr>
            <w:r w:rsidRPr="00D80068">
              <w:t>Any vitamin or mineral with a RDI</w:t>
            </w:r>
          </w:p>
        </w:tc>
        <w:tc>
          <w:tcPr>
            <w:tcW w:w="4207" w:type="dxa"/>
            <w:tcBorders>
              <w:top w:val="nil"/>
              <w:left w:val="nil"/>
              <w:bottom w:val="nil"/>
              <w:right w:val="nil"/>
            </w:tcBorders>
            <w:hideMark/>
          </w:tcPr>
          <w:p w14:paraId="10AF43CB" w14:textId="77777777" w:rsidR="00023102" w:rsidRPr="00D80068" w:rsidRDefault="00023102" w:rsidP="003D609A">
            <w:pPr>
              <w:pStyle w:val="FSCtblAPara"/>
            </w:pPr>
            <w:r w:rsidRPr="00D80068">
              <w:t>(a)</w:t>
            </w:r>
            <w:r w:rsidRPr="00D80068">
              <w:tab/>
              <w:t>*Average quantity of the vitamin or mineral present per serving of the food; and</w:t>
            </w:r>
          </w:p>
          <w:p w14:paraId="2EC87C4B" w14:textId="77777777" w:rsidR="00023102" w:rsidRPr="00D80068" w:rsidRDefault="00023102" w:rsidP="003D609A">
            <w:pPr>
              <w:pStyle w:val="FSCtblAPara"/>
            </w:pPr>
            <w:r w:rsidRPr="00D80068">
              <w:t>(b)</w:t>
            </w:r>
            <w:r w:rsidRPr="00D80068">
              <w:tab/>
              <w:t>Percentage of the RDI for the vitamin or mineral contributed by one serving of the food, and calculated in accordance with section 1.2.8—9.</w:t>
            </w:r>
          </w:p>
        </w:tc>
      </w:tr>
      <w:tr w:rsidR="00023102" w:rsidRPr="00D80068" w14:paraId="4E11E71F" w14:textId="77777777" w:rsidTr="003D609A">
        <w:trPr>
          <w:cantSplit/>
          <w:jc w:val="center"/>
        </w:trPr>
        <w:tc>
          <w:tcPr>
            <w:tcW w:w="4865" w:type="dxa"/>
            <w:tcBorders>
              <w:top w:val="nil"/>
              <w:left w:val="nil"/>
              <w:bottom w:val="nil"/>
              <w:right w:val="nil"/>
            </w:tcBorders>
            <w:hideMark/>
          </w:tcPr>
          <w:p w14:paraId="464FF5C5" w14:textId="77777777" w:rsidR="00023102" w:rsidRPr="00D80068" w:rsidRDefault="00023102" w:rsidP="003D609A">
            <w:pPr>
              <w:pStyle w:val="FSCtblAMain"/>
              <w:rPr>
                <w:bCs/>
              </w:rPr>
            </w:pPr>
            <w:r w:rsidRPr="00D80068">
              <w:rPr>
                <w:bCs/>
              </w:rPr>
              <w:t>Polyunsaturated fatty acids or monounsaturated fatty acids in a food standardised in Standard 2.4.1 or 2.4.2</w:t>
            </w:r>
          </w:p>
        </w:tc>
        <w:tc>
          <w:tcPr>
            <w:tcW w:w="4207" w:type="dxa"/>
            <w:tcBorders>
              <w:top w:val="nil"/>
              <w:left w:val="nil"/>
              <w:bottom w:val="nil"/>
              <w:right w:val="nil"/>
            </w:tcBorders>
            <w:hideMark/>
          </w:tcPr>
          <w:p w14:paraId="04947324" w14:textId="77777777" w:rsidR="00023102" w:rsidRPr="00D80068" w:rsidRDefault="00023102" w:rsidP="003D609A">
            <w:pPr>
              <w:pStyle w:val="FSCtblAMain"/>
            </w:pPr>
            <w:r w:rsidRPr="00D80068">
              <w:t>Saturated fatty acids, trans fatty acids, *polyunsaturated fatty acids and monounsaturated fatty acids content per serving of the food</w:t>
            </w:r>
          </w:p>
        </w:tc>
      </w:tr>
      <w:tr w:rsidR="00023102" w:rsidRPr="00D80068" w14:paraId="0A532DDB" w14:textId="77777777" w:rsidTr="003D609A">
        <w:trPr>
          <w:cantSplit/>
          <w:jc w:val="center"/>
        </w:trPr>
        <w:tc>
          <w:tcPr>
            <w:tcW w:w="4865" w:type="dxa"/>
            <w:tcBorders>
              <w:top w:val="nil"/>
              <w:left w:val="nil"/>
              <w:bottom w:val="nil"/>
              <w:right w:val="nil"/>
            </w:tcBorders>
            <w:hideMark/>
          </w:tcPr>
          <w:p w14:paraId="1FDC6F33" w14:textId="77777777" w:rsidR="00023102" w:rsidRPr="00D80068" w:rsidRDefault="00023102" w:rsidP="003D609A">
            <w:pPr>
              <w:pStyle w:val="FSCtblAMain"/>
              <w:rPr>
                <w:bCs/>
              </w:rPr>
            </w:pPr>
            <w:r w:rsidRPr="00D80068">
              <w:rPr>
                <w:bCs/>
              </w:rPr>
              <w:t>Polyunsaturated fatty acids or monounsaturated fatty acids in a food that is not a food standardised in Standard 2.4.1 or 2.4.2</w:t>
            </w:r>
          </w:p>
        </w:tc>
        <w:tc>
          <w:tcPr>
            <w:tcW w:w="4207" w:type="dxa"/>
            <w:tcBorders>
              <w:top w:val="nil"/>
              <w:left w:val="nil"/>
              <w:bottom w:val="nil"/>
              <w:right w:val="nil"/>
            </w:tcBorders>
            <w:hideMark/>
          </w:tcPr>
          <w:p w14:paraId="66A2B052" w14:textId="77777777" w:rsidR="00023102" w:rsidRPr="00D80068" w:rsidRDefault="00023102" w:rsidP="003D609A">
            <w:pPr>
              <w:pStyle w:val="FSCtblAMain"/>
            </w:pPr>
            <w:r w:rsidRPr="00D80068">
              <w:t>Average quantity of saturated fatty acids, trans fatty acids, *polyunsaturated fatty acids and monounsaturated fatty acids content per serving of the food</w:t>
            </w:r>
          </w:p>
        </w:tc>
      </w:tr>
      <w:tr w:rsidR="00023102" w:rsidRPr="00D80068" w14:paraId="2D2B0CB7" w14:textId="77777777" w:rsidTr="003D609A">
        <w:trPr>
          <w:cantSplit/>
          <w:jc w:val="center"/>
        </w:trPr>
        <w:tc>
          <w:tcPr>
            <w:tcW w:w="4865" w:type="dxa"/>
            <w:tcBorders>
              <w:top w:val="nil"/>
              <w:left w:val="nil"/>
              <w:bottom w:val="nil"/>
              <w:right w:val="nil"/>
            </w:tcBorders>
            <w:hideMark/>
          </w:tcPr>
          <w:p w14:paraId="3412EBE6" w14:textId="77777777" w:rsidR="00023102" w:rsidRPr="00D80068" w:rsidRDefault="00023102" w:rsidP="003D609A">
            <w:pPr>
              <w:pStyle w:val="FSCtblAMain"/>
              <w:rPr>
                <w:bCs/>
              </w:rPr>
            </w:pPr>
            <w:r w:rsidRPr="00D80068">
              <w:rPr>
                <w:bCs/>
                <w:iCs/>
                <w:lang w:val="en-NZ"/>
              </w:rPr>
              <w:t>Cholesterol, saturated fatty acids, trans fatty acids, omega-6 or omega-9 fatty acids</w:t>
            </w:r>
          </w:p>
        </w:tc>
        <w:tc>
          <w:tcPr>
            <w:tcW w:w="4207" w:type="dxa"/>
            <w:tcBorders>
              <w:top w:val="nil"/>
              <w:left w:val="nil"/>
              <w:bottom w:val="nil"/>
              <w:right w:val="nil"/>
            </w:tcBorders>
            <w:hideMark/>
          </w:tcPr>
          <w:p w14:paraId="54F09904" w14:textId="77777777" w:rsidR="00023102" w:rsidRPr="00D80068" w:rsidRDefault="00023102" w:rsidP="003D609A">
            <w:pPr>
              <w:pStyle w:val="FSCtblAMain"/>
            </w:pPr>
            <w:r w:rsidRPr="00D80068">
              <w:t>Average quantity of saturated fatty acids, trans fatty acids, *polyunsaturated fatty acids and monounsaturated fatty acids content per serving of the food</w:t>
            </w:r>
          </w:p>
        </w:tc>
      </w:tr>
      <w:tr w:rsidR="00023102" w:rsidRPr="00D80068" w14:paraId="72E67907" w14:textId="77777777" w:rsidTr="003D609A">
        <w:trPr>
          <w:cantSplit/>
          <w:jc w:val="center"/>
        </w:trPr>
        <w:tc>
          <w:tcPr>
            <w:tcW w:w="4865" w:type="dxa"/>
            <w:tcBorders>
              <w:top w:val="nil"/>
              <w:left w:val="nil"/>
              <w:bottom w:val="nil"/>
              <w:right w:val="nil"/>
            </w:tcBorders>
            <w:hideMark/>
          </w:tcPr>
          <w:p w14:paraId="67938F49" w14:textId="77777777" w:rsidR="00023102" w:rsidRPr="00D80068" w:rsidRDefault="00023102" w:rsidP="003D609A">
            <w:pPr>
              <w:pStyle w:val="FSCtblAMain"/>
              <w:rPr>
                <w:bCs/>
              </w:rPr>
            </w:pPr>
            <w:r w:rsidRPr="00D80068">
              <w:rPr>
                <w:bCs/>
              </w:rPr>
              <w:t>Dietary fibre, sugars or any other *carbohydrate</w:t>
            </w:r>
          </w:p>
        </w:tc>
        <w:tc>
          <w:tcPr>
            <w:tcW w:w="4207" w:type="dxa"/>
            <w:tcBorders>
              <w:top w:val="nil"/>
              <w:left w:val="nil"/>
              <w:bottom w:val="nil"/>
              <w:right w:val="nil"/>
            </w:tcBorders>
          </w:tcPr>
          <w:p w14:paraId="22ECD650" w14:textId="77777777" w:rsidR="00023102" w:rsidRPr="00D80068" w:rsidRDefault="00023102" w:rsidP="003D609A">
            <w:pPr>
              <w:pStyle w:val="FSCtblAMain"/>
            </w:pPr>
            <w:r w:rsidRPr="00D80068">
              <w:t>Average energy content per serving of the food and average quantity of carbohydrate, sugars and dietary (calculated in accordance with section S11—4) present per serving of the food</w:t>
            </w:r>
          </w:p>
        </w:tc>
      </w:tr>
      <w:tr w:rsidR="00023102" w:rsidRPr="00D80068" w14:paraId="7C8310AE" w14:textId="77777777" w:rsidTr="003D609A">
        <w:trPr>
          <w:cantSplit/>
          <w:jc w:val="center"/>
        </w:trPr>
        <w:tc>
          <w:tcPr>
            <w:tcW w:w="4865" w:type="dxa"/>
            <w:tcBorders>
              <w:top w:val="nil"/>
              <w:left w:val="nil"/>
              <w:bottom w:val="nil"/>
              <w:right w:val="nil"/>
            </w:tcBorders>
            <w:hideMark/>
          </w:tcPr>
          <w:p w14:paraId="0EBDE3B4" w14:textId="77777777" w:rsidR="00023102" w:rsidRPr="00D80068" w:rsidRDefault="00023102" w:rsidP="003D609A">
            <w:pPr>
              <w:pStyle w:val="FSCtblAMain"/>
            </w:pPr>
            <w:r w:rsidRPr="00D80068">
              <w:t>Energy</w:t>
            </w:r>
          </w:p>
        </w:tc>
        <w:tc>
          <w:tcPr>
            <w:tcW w:w="4207" w:type="dxa"/>
            <w:tcBorders>
              <w:top w:val="nil"/>
              <w:left w:val="nil"/>
              <w:bottom w:val="nil"/>
              <w:right w:val="nil"/>
            </w:tcBorders>
            <w:hideMark/>
          </w:tcPr>
          <w:p w14:paraId="25D521EC" w14:textId="77777777" w:rsidR="00023102" w:rsidRPr="00D80068" w:rsidRDefault="00023102" w:rsidP="003D609A">
            <w:pPr>
              <w:pStyle w:val="FSCtblAMain"/>
            </w:pPr>
            <w:r w:rsidRPr="00D80068">
              <w:t>Average energy content per serving of the food</w:t>
            </w:r>
          </w:p>
        </w:tc>
      </w:tr>
      <w:tr w:rsidR="00023102" w:rsidRPr="00D80068" w14:paraId="5331E937" w14:textId="77777777" w:rsidTr="003D609A">
        <w:trPr>
          <w:cantSplit/>
          <w:jc w:val="center"/>
        </w:trPr>
        <w:tc>
          <w:tcPr>
            <w:tcW w:w="4865" w:type="dxa"/>
            <w:tcBorders>
              <w:top w:val="nil"/>
              <w:left w:val="nil"/>
              <w:bottom w:val="nil"/>
              <w:right w:val="nil"/>
            </w:tcBorders>
            <w:hideMark/>
          </w:tcPr>
          <w:p w14:paraId="4B23DB05" w14:textId="77777777" w:rsidR="00023102" w:rsidRPr="00D80068" w:rsidRDefault="00023102" w:rsidP="003D609A">
            <w:pPr>
              <w:pStyle w:val="FSCtblAMain"/>
            </w:pPr>
            <w:r w:rsidRPr="00D80068">
              <w:t>Fat-free</w:t>
            </w:r>
          </w:p>
        </w:tc>
        <w:tc>
          <w:tcPr>
            <w:tcW w:w="4207" w:type="dxa"/>
            <w:tcBorders>
              <w:top w:val="nil"/>
              <w:left w:val="nil"/>
              <w:bottom w:val="nil"/>
              <w:right w:val="nil"/>
            </w:tcBorders>
            <w:hideMark/>
          </w:tcPr>
          <w:p w14:paraId="399639BD" w14:textId="77777777" w:rsidR="00023102" w:rsidRPr="00D80068" w:rsidRDefault="00023102" w:rsidP="003D609A">
            <w:pPr>
              <w:pStyle w:val="FSCtblAMain"/>
            </w:pPr>
            <w:r w:rsidRPr="00D80068">
              <w:t>Average energy content per serving of the food</w:t>
            </w:r>
          </w:p>
        </w:tc>
      </w:tr>
      <w:tr w:rsidR="00023102" w:rsidRPr="00D80068" w14:paraId="6A48A3DE" w14:textId="77777777" w:rsidTr="003D609A">
        <w:trPr>
          <w:cantSplit/>
          <w:jc w:val="center"/>
        </w:trPr>
        <w:tc>
          <w:tcPr>
            <w:tcW w:w="4865" w:type="dxa"/>
            <w:tcBorders>
              <w:top w:val="nil"/>
              <w:left w:val="nil"/>
              <w:bottom w:val="nil"/>
              <w:right w:val="nil"/>
            </w:tcBorders>
          </w:tcPr>
          <w:p w14:paraId="3CCCCFDA" w14:textId="77777777" w:rsidR="00023102" w:rsidRPr="00D80068" w:rsidRDefault="00023102" w:rsidP="003D609A">
            <w:pPr>
              <w:pStyle w:val="FSCtblAMain"/>
            </w:pPr>
            <w:r w:rsidRPr="00D80068">
              <w:t>Omega-3 fatty acids</w:t>
            </w:r>
          </w:p>
        </w:tc>
        <w:tc>
          <w:tcPr>
            <w:tcW w:w="4207" w:type="dxa"/>
            <w:tcBorders>
              <w:top w:val="nil"/>
              <w:left w:val="nil"/>
              <w:bottom w:val="nil"/>
              <w:right w:val="nil"/>
            </w:tcBorders>
          </w:tcPr>
          <w:p w14:paraId="184EB51D" w14:textId="77777777" w:rsidR="00023102" w:rsidRPr="00D80068" w:rsidRDefault="00023102" w:rsidP="003D609A">
            <w:pPr>
              <w:pStyle w:val="FSCtblAPara"/>
              <w:rPr>
                <w:bCs/>
              </w:rPr>
            </w:pPr>
            <w:r w:rsidRPr="00D80068">
              <w:rPr>
                <w:bCs/>
              </w:rPr>
              <w:t xml:space="preserve">(a) </w:t>
            </w:r>
            <w:r w:rsidRPr="00D80068">
              <w:rPr>
                <w:bCs/>
              </w:rPr>
              <w:tab/>
            </w:r>
            <w:r w:rsidRPr="00D80068">
              <w:t>Average quantity of *saturated fatty acids, *trans fatty acids, *polyunsaturated fatty acids and *monounsaturated fatty acids content per serving of the food</w:t>
            </w:r>
            <w:r w:rsidRPr="00D80068">
              <w:rPr>
                <w:bCs/>
              </w:rPr>
              <w:t>; and</w:t>
            </w:r>
          </w:p>
          <w:p w14:paraId="1E86E7FD" w14:textId="77777777" w:rsidR="00023102" w:rsidRPr="00D80068" w:rsidRDefault="00023102" w:rsidP="003D609A">
            <w:pPr>
              <w:pStyle w:val="FSCtblAPara"/>
              <w:rPr>
                <w:bCs/>
              </w:rPr>
            </w:pPr>
            <w:r w:rsidRPr="00D80068">
              <w:rPr>
                <w:bCs/>
              </w:rPr>
              <w:t>(b)</w:t>
            </w:r>
            <w:r w:rsidRPr="00D80068">
              <w:rPr>
                <w:bCs/>
              </w:rPr>
              <w:tab/>
            </w:r>
            <w:r w:rsidRPr="00D80068">
              <w:t xml:space="preserve">Average quantity of each type of omega-3 fatty acids </w:t>
            </w:r>
            <w:r w:rsidRPr="00D80068">
              <w:rPr>
                <w:bCs/>
              </w:rPr>
              <w:t>per serving of the food</w:t>
            </w:r>
            <w:r w:rsidRPr="00D80068">
              <w:t xml:space="preserve"> (</w:t>
            </w:r>
            <w:r w:rsidRPr="00D80068">
              <w:rPr>
                <w:bCs/>
              </w:rPr>
              <w:t>that is, alpha</w:t>
            </w:r>
            <w:r w:rsidRPr="00D80068">
              <w:rPr>
                <w:bCs/>
              </w:rPr>
              <w:noBreakHyphen/>
              <w:t>linolenic acid, docosahexaenoic acid, eicosapentaenoic acid or a combination of these); and</w:t>
            </w:r>
          </w:p>
          <w:p w14:paraId="387E8F35" w14:textId="77777777" w:rsidR="00023102" w:rsidRPr="00D80068" w:rsidRDefault="00023102" w:rsidP="003D609A">
            <w:pPr>
              <w:pStyle w:val="FSCtblAPara"/>
              <w:rPr>
                <w:bCs/>
              </w:rPr>
            </w:pPr>
            <w:r w:rsidRPr="00D80068">
              <w:rPr>
                <w:bCs/>
              </w:rPr>
              <w:t xml:space="preserve">(c) </w:t>
            </w:r>
            <w:r w:rsidRPr="00D80068">
              <w:rPr>
                <w:bCs/>
              </w:rPr>
              <w:tab/>
            </w:r>
            <w:r w:rsidRPr="00D80068">
              <w:t>Average quantity of the total of omega-3 fatty acids per serving of the food</w:t>
            </w:r>
          </w:p>
        </w:tc>
      </w:tr>
      <w:tr w:rsidR="00023102" w:rsidRPr="00D80068" w14:paraId="098E0B2E" w14:textId="77777777" w:rsidTr="003D609A">
        <w:trPr>
          <w:cantSplit/>
          <w:jc w:val="center"/>
        </w:trPr>
        <w:tc>
          <w:tcPr>
            <w:tcW w:w="4865" w:type="dxa"/>
            <w:tcBorders>
              <w:top w:val="nil"/>
              <w:left w:val="nil"/>
              <w:bottom w:val="nil"/>
              <w:right w:val="nil"/>
            </w:tcBorders>
          </w:tcPr>
          <w:p w14:paraId="7FC35DA7" w14:textId="77777777" w:rsidR="00023102" w:rsidRPr="007B0656" w:rsidRDefault="00023102" w:rsidP="003D609A">
            <w:pPr>
              <w:pStyle w:val="FSCtblAMain"/>
              <w:rPr>
                <w:szCs w:val="18"/>
              </w:rPr>
            </w:pPr>
            <w:r w:rsidRPr="007B0656">
              <w:rPr>
                <w:szCs w:val="18"/>
              </w:rPr>
              <w:t>Lactose</w:t>
            </w:r>
          </w:p>
        </w:tc>
        <w:tc>
          <w:tcPr>
            <w:tcW w:w="4207" w:type="dxa"/>
            <w:tcBorders>
              <w:top w:val="nil"/>
              <w:left w:val="nil"/>
              <w:bottom w:val="nil"/>
              <w:right w:val="nil"/>
            </w:tcBorders>
          </w:tcPr>
          <w:p w14:paraId="04ECBFFD" w14:textId="77777777" w:rsidR="00023102" w:rsidRPr="007B0656" w:rsidRDefault="00023102" w:rsidP="003D609A">
            <w:pPr>
              <w:pStyle w:val="FSCtblAMain"/>
              <w:rPr>
                <w:szCs w:val="18"/>
              </w:rPr>
            </w:pPr>
            <w:r w:rsidRPr="007B0656">
              <w:rPr>
                <w:szCs w:val="18"/>
              </w:rPr>
              <w:t>Average quantity of galactose content per serving of the food</w:t>
            </w:r>
          </w:p>
        </w:tc>
      </w:tr>
      <w:tr w:rsidR="00023102" w:rsidRPr="00D80068" w14:paraId="46C6B2BB" w14:textId="77777777" w:rsidTr="003D609A">
        <w:trPr>
          <w:cantSplit/>
          <w:jc w:val="center"/>
        </w:trPr>
        <w:tc>
          <w:tcPr>
            <w:tcW w:w="4865" w:type="dxa"/>
            <w:tcBorders>
              <w:top w:val="nil"/>
              <w:left w:val="nil"/>
              <w:bottom w:val="nil"/>
              <w:right w:val="nil"/>
            </w:tcBorders>
          </w:tcPr>
          <w:p w14:paraId="294F9504" w14:textId="77777777" w:rsidR="00023102" w:rsidRPr="007B0656" w:rsidRDefault="00023102" w:rsidP="003D609A">
            <w:pPr>
              <w:pStyle w:val="FSCtblAMain"/>
              <w:rPr>
                <w:szCs w:val="18"/>
              </w:rPr>
            </w:pPr>
            <w:r w:rsidRPr="007B0656">
              <w:rPr>
                <w:szCs w:val="18"/>
              </w:rPr>
              <w:t>Potassium</w:t>
            </w:r>
          </w:p>
        </w:tc>
        <w:tc>
          <w:tcPr>
            <w:tcW w:w="4207" w:type="dxa"/>
            <w:tcBorders>
              <w:top w:val="nil"/>
              <w:left w:val="nil"/>
              <w:bottom w:val="nil"/>
              <w:right w:val="nil"/>
            </w:tcBorders>
          </w:tcPr>
          <w:p w14:paraId="6D1481DB" w14:textId="77777777" w:rsidR="00023102" w:rsidRPr="007B0656" w:rsidRDefault="00023102" w:rsidP="003D609A">
            <w:pPr>
              <w:pStyle w:val="FSCtblAMain"/>
              <w:rPr>
                <w:szCs w:val="18"/>
              </w:rPr>
            </w:pPr>
            <w:r w:rsidRPr="007B0656">
              <w:rPr>
                <w:szCs w:val="18"/>
              </w:rPr>
              <w:t>Average quantity of sodium content per serving of the food</w:t>
            </w:r>
          </w:p>
        </w:tc>
      </w:tr>
      <w:tr w:rsidR="00023102" w:rsidRPr="00D80068" w14:paraId="4E1C9828" w14:textId="77777777" w:rsidTr="003D609A">
        <w:trPr>
          <w:cantSplit/>
          <w:jc w:val="center"/>
        </w:trPr>
        <w:tc>
          <w:tcPr>
            <w:tcW w:w="4865" w:type="dxa"/>
            <w:tcBorders>
              <w:top w:val="nil"/>
              <w:left w:val="nil"/>
              <w:bottom w:val="single" w:sz="4" w:space="0" w:color="auto"/>
              <w:right w:val="nil"/>
            </w:tcBorders>
          </w:tcPr>
          <w:p w14:paraId="4FC399A8" w14:textId="77777777" w:rsidR="00023102" w:rsidRPr="00D80068" w:rsidRDefault="00023102" w:rsidP="003D609A">
            <w:pPr>
              <w:pStyle w:val="FSCtblAMain"/>
              <w:pageBreakBefore/>
              <w:rPr>
                <w:sz w:val="20"/>
                <w:szCs w:val="20"/>
              </w:rPr>
            </w:pPr>
            <w:r w:rsidRPr="00D80068">
              <w:rPr>
                <w:sz w:val="20"/>
                <w:szCs w:val="20"/>
              </w:rPr>
              <w:lastRenderedPageBreak/>
              <w:t>Sodium or salt</w:t>
            </w:r>
          </w:p>
        </w:tc>
        <w:tc>
          <w:tcPr>
            <w:tcW w:w="4207" w:type="dxa"/>
            <w:tcBorders>
              <w:top w:val="nil"/>
              <w:left w:val="nil"/>
              <w:bottom w:val="single" w:sz="4" w:space="0" w:color="auto"/>
              <w:right w:val="nil"/>
            </w:tcBorders>
          </w:tcPr>
          <w:p w14:paraId="1DEAA730" w14:textId="77777777" w:rsidR="00023102" w:rsidRPr="00D80068" w:rsidRDefault="00023102" w:rsidP="003D609A">
            <w:pPr>
              <w:pStyle w:val="FSCtblAMain"/>
            </w:pPr>
            <w:r w:rsidRPr="00D80068">
              <w:t>Average quantity of sodium and potassium content per serving of the food</w:t>
            </w:r>
          </w:p>
        </w:tc>
      </w:tr>
    </w:tbl>
    <w:p w14:paraId="3A060774" w14:textId="77777777" w:rsidR="00023102" w:rsidRPr="002D3B8C" w:rsidRDefault="00023102" w:rsidP="00023102">
      <w:pPr>
        <w:jc w:val="right"/>
        <w:rPr>
          <w:sz w:val="20"/>
        </w:rPr>
      </w:pPr>
      <w:bookmarkStart w:id="169" w:name="_Toc420053003"/>
      <w:r w:rsidRPr="002D3B8C">
        <w:rPr>
          <w:rFonts w:eastAsia="Calibri"/>
          <w:sz w:val="20"/>
        </w:rPr>
        <w:t>”</w:t>
      </w:r>
      <w:bookmarkEnd w:id="169"/>
    </w:p>
    <w:p w14:paraId="2EAC51CD" w14:textId="77777777" w:rsidR="00023102" w:rsidRPr="007F24A6" w:rsidRDefault="00023102" w:rsidP="007F24A6">
      <w:pPr>
        <w:widowControl/>
      </w:pPr>
    </w:p>
    <w:sectPr w:rsidR="00023102" w:rsidRPr="007F24A6" w:rsidSect="00A437B9">
      <w:footerReference w:type="default" r:id="rId2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B8C9E" w14:textId="77777777" w:rsidR="00553978" w:rsidRDefault="00553978">
      <w:r>
        <w:separator/>
      </w:r>
    </w:p>
  </w:endnote>
  <w:endnote w:type="continuationSeparator" w:id="0">
    <w:p w14:paraId="40BEAFDE" w14:textId="77777777" w:rsidR="00553978" w:rsidRDefault="00553978">
      <w:r>
        <w:continuationSeparator/>
      </w:r>
    </w:p>
  </w:endnote>
  <w:endnote w:type="continuationNotice" w:id="1">
    <w:p w14:paraId="7E30FD41" w14:textId="77777777" w:rsidR="00553978" w:rsidRDefault="00553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DE444" w14:textId="77777777" w:rsidR="005C13CA" w:rsidRDefault="005C13C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CAEE81" w14:textId="77777777" w:rsidR="005C13CA" w:rsidRDefault="005C1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28B501B9" w14:textId="77777777" w:rsidR="005C13CA" w:rsidRDefault="005C13CA" w:rsidP="00A671E6">
        <w:pPr>
          <w:pStyle w:val="Footer"/>
          <w:jc w:val="center"/>
        </w:pPr>
        <w:r>
          <w:fldChar w:fldCharType="begin"/>
        </w:r>
        <w:r>
          <w:instrText xml:space="preserve"> PAGE   \* MERGEFORMAT </w:instrText>
        </w:r>
        <w:r>
          <w:fldChar w:fldCharType="separate"/>
        </w:r>
        <w:r w:rsidR="0078677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CCC3D" w14:textId="77777777" w:rsidR="0076369C" w:rsidRDefault="007636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22832"/>
      <w:docPartObj>
        <w:docPartGallery w:val="Page Numbers (Bottom of Page)"/>
        <w:docPartUnique/>
      </w:docPartObj>
    </w:sdtPr>
    <w:sdtEndPr>
      <w:rPr>
        <w:noProof/>
      </w:rPr>
    </w:sdtEndPr>
    <w:sdtContent>
      <w:p w14:paraId="11FC3B44" w14:textId="77777777" w:rsidR="005C13CA" w:rsidRDefault="005C13CA" w:rsidP="00A671E6">
        <w:pPr>
          <w:pStyle w:val="Footer"/>
          <w:jc w:val="center"/>
        </w:pPr>
        <w:r>
          <w:fldChar w:fldCharType="begin"/>
        </w:r>
        <w:r>
          <w:instrText xml:space="preserve"> PAGE   \* MERGEFORMAT </w:instrText>
        </w:r>
        <w:r>
          <w:fldChar w:fldCharType="separate"/>
        </w:r>
        <w:r w:rsidR="00786770">
          <w:rPr>
            <w:noProof/>
          </w:rPr>
          <w:t>16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50961"/>
      <w:docPartObj>
        <w:docPartGallery w:val="Page Numbers (Bottom of Page)"/>
        <w:docPartUnique/>
      </w:docPartObj>
    </w:sdtPr>
    <w:sdtEndPr>
      <w:rPr>
        <w:noProof/>
      </w:rPr>
    </w:sdtEndPr>
    <w:sdtContent>
      <w:p w14:paraId="4A12CFF6" w14:textId="77777777" w:rsidR="005C13CA" w:rsidRDefault="005C13CA" w:rsidP="00A671E6">
        <w:pPr>
          <w:pStyle w:val="Footer"/>
          <w:jc w:val="center"/>
        </w:pPr>
        <w:r>
          <w:fldChar w:fldCharType="begin"/>
        </w:r>
        <w:r>
          <w:instrText xml:space="preserve"> PAGE   \* MERGEFORMAT </w:instrText>
        </w:r>
        <w:r>
          <w:fldChar w:fldCharType="separate"/>
        </w:r>
        <w:r w:rsidR="00786770">
          <w:rPr>
            <w:noProof/>
          </w:rPr>
          <w:t>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C833" w14:textId="77777777" w:rsidR="00553978" w:rsidRDefault="00553978">
      <w:r>
        <w:separator/>
      </w:r>
    </w:p>
  </w:footnote>
  <w:footnote w:type="continuationSeparator" w:id="0">
    <w:p w14:paraId="5C746934" w14:textId="77777777" w:rsidR="00553978" w:rsidRDefault="00553978">
      <w:r>
        <w:continuationSeparator/>
      </w:r>
    </w:p>
  </w:footnote>
  <w:footnote w:type="continuationNotice" w:id="1">
    <w:p w14:paraId="61818164" w14:textId="77777777" w:rsidR="00553978" w:rsidRDefault="00553978"/>
  </w:footnote>
  <w:footnote w:id="2">
    <w:p w14:paraId="63F89CB8" w14:textId="77777777" w:rsidR="004D3026" w:rsidRPr="00116328" w:rsidRDefault="004D3026" w:rsidP="004D3026">
      <w:pPr>
        <w:pStyle w:val="FootnoteText"/>
        <w:rPr>
          <w:sz w:val="18"/>
          <w:szCs w:val="18"/>
          <w:lang w:val="en-AU"/>
        </w:rPr>
      </w:pPr>
      <w:r w:rsidRPr="00116328">
        <w:rPr>
          <w:rStyle w:val="FootnoteReference"/>
          <w:sz w:val="18"/>
          <w:szCs w:val="18"/>
        </w:rPr>
        <w:footnoteRef/>
      </w:r>
      <w:r w:rsidRPr="00116328">
        <w:rPr>
          <w:sz w:val="18"/>
          <w:szCs w:val="18"/>
        </w:rPr>
        <w:t xml:space="preserve"> </w:t>
      </w:r>
      <w:r w:rsidRPr="00116328">
        <w:rPr>
          <w:sz w:val="18"/>
          <w:szCs w:val="18"/>
          <w:lang w:val="en-AU"/>
        </w:rPr>
        <w:t>convening as the Australia and New Zealand Food Regulation Ministerial Council</w:t>
      </w:r>
    </w:p>
  </w:footnote>
  <w:footnote w:id="3">
    <w:p w14:paraId="49135B54" w14:textId="2D9F4FBD" w:rsidR="005C13CA" w:rsidRPr="00B02F88" w:rsidRDefault="005C13CA" w:rsidP="00E9289F">
      <w:pPr>
        <w:pStyle w:val="FootnoteText"/>
        <w:rPr>
          <w:sz w:val="18"/>
          <w:lang w:val="en-AU"/>
        </w:rPr>
      </w:pPr>
      <w:r w:rsidRPr="00113C17">
        <w:rPr>
          <w:rStyle w:val="FootnoteReference"/>
          <w:sz w:val="18"/>
        </w:rPr>
        <w:footnoteRef/>
      </w:r>
      <w:r w:rsidRPr="00113C17">
        <w:rPr>
          <w:sz w:val="18"/>
          <w:lang w:val="en-AU"/>
        </w:rPr>
        <w:t xml:space="preserve"> </w:t>
      </w:r>
      <w:r w:rsidRPr="00113C17">
        <w:rPr>
          <w:sz w:val="18"/>
        </w:rPr>
        <w:t>A revision of the Code through Proposal P1025 – Code Revision</w:t>
      </w:r>
      <w:r>
        <w:rPr>
          <w:sz w:val="18"/>
        </w:rPr>
        <w:t xml:space="preserve"> </w:t>
      </w:r>
      <w:r w:rsidRPr="00B02F88">
        <w:rPr>
          <w:sz w:val="18"/>
        </w:rPr>
        <w:t xml:space="preserve">will replace the </w:t>
      </w:r>
      <w:r>
        <w:rPr>
          <w:sz w:val="18"/>
        </w:rPr>
        <w:t>current</w:t>
      </w:r>
      <w:r w:rsidRPr="00B02F88">
        <w:rPr>
          <w:sz w:val="18"/>
        </w:rPr>
        <w:t xml:space="preserve"> Code on 1 March 2016. </w:t>
      </w:r>
      <w:r>
        <w:rPr>
          <w:sz w:val="18"/>
        </w:rPr>
        <w:t>References are made to both the current and revised Codes in this table and throughout the report.</w:t>
      </w:r>
      <w:r w:rsidRPr="00B02F88">
        <w:rPr>
          <w:sz w:val="18"/>
        </w:rPr>
        <w:t xml:space="preserve"> </w:t>
      </w:r>
    </w:p>
  </w:footnote>
  <w:footnote w:id="4">
    <w:p w14:paraId="0759D43C" w14:textId="13B5B747" w:rsidR="005C13CA" w:rsidRPr="000D323B" w:rsidRDefault="005C13CA">
      <w:pPr>
        <w:pStyle w:val="FootnoteText"/>
        <w:rPr>
          <w:lang w:val="en-AU"/>
        </w:rPr>
      </w:pPr>
      <w:r>
        <w:rPr>
          <w:rStyle w:val="FootnoteReference"/>
        </w:rPr>
        <w:footnoteRef/>
      </w:r>
      <w:r>
        <w:t xml:space="preserve"> </w:t>
      </w:r>
      <w:r w:rsidRPr="00B02F88">
        <w:rPr>
          <w:sz w:val="18"/>
          <w:lang w:val="en-AU"/>
        </w:rPr>
        <w:t xml:space="preserve">Small package is defined in </w:t>
      </w:r>
      <w:r>
        <w:rPr>
          <w:sz w:val="18"/>
          <w:lang w:val="en-AU"/>
        </w:rPr>
        <w:t xml:space="preserve">clause 1 of </w:t>
      </w:r>
      <w:r w:rsidRPr="00B02F88">
        <w:rPr>
          <w:sz w:val="18"/>
          <w:lang w:val="en-AU"/>
        </w:rPr>
        <w:t>Standard 1.1.1 – Preliminary Provisions – Application, Interpretation and General Prohibitions</w:t>
      </w:r>
      <w:r>
        <w:rPr>
          <w:sz w:val="18"/>
          <w:lang w:val="en-AU"/>
        </w:rPr>
        <w:t xml:space="preserve"> of the current Code (Standard 1.1.2 </w:t>
      </w:r>
      <w:r w:rsidRPr="00B02F88">
        <w:rPr>
          <w:sz w:val="18"/>
          <w:lang w:val="en-AU"/>
        </w:rPr>
        <w:t>–</w:t>
      </w:r>
      <w:r>
        <w:rPr>
          <w:sz w:val="18"/>
          <w:lang w:val="en-AU"/>
        </w:rPr>
        <w:t xml:space="preserve"> Definitions used throughout the Code, of the revised Code)</w:t>
      </w:r>
      <w:r w:rsidRPr="00B02F88">
        <w:rPr>
          <w:sz w:val="18"/>
          <w:lang w:val="en-AU"/>
        </w:rPr>
        <w:t>, as a package with a surface area of less than 100 cm</w:t>
      </w:r>
      <w:r w:rsidRPr="00B02F88">
        <w:rPr>
          <w:sz w:val="18"/>
          <w:vertAlign w:val="superscript"/>
          <w:lang w:val="en-AU"/>
        </w:rPr>
        <w:t>2</w:t>
      </w:r>
      <w:r w:rsidRPr="00B02F88">
        <w:rPr>
          <w:sz w:val="18"/>
          <w:lang w:val="en-AU"/>
        </w:rPr>
        <w:t>.</w:t>
      </w:r>
    </w:p>
  </w:footnote>
  <w:footnote w:id="5">
    <w:p w14:paraId="7E0A5001" w14:textId="77777777" w:rsidR="005C13CA" w:rsidRPr="00B02F88" w:rsidRDefault="005C13CA" w:rsidP="00B65830">
      <w:pPr>
        <w:pStyle w:val="FootnoteText"/>
        <w:rPr>
          <w:sz w:val="18"/>
          <w:lang w:val="en-AU"/>
        </w:rPr>
      </w:pPr>
      <w:r w:rsidRPr="00B02F88">
        <w:rPr>
          <w:rStyle w:val="FootnoteReference"/>
          <w:sz w:val="18"/>
        </w:rPr>
        <w:footnoteRef/>
      </w:r>
      <w:r w:rsidRPr="00B02F88">
        <w:rPr>
          <w:sz w:val="18"/>
        </w:rPr>
        <w:t xml:space="preserve"> </w:t>
      </w:r>
      <w:hyperlink r:id="rId1" w:history="1">
        <w:r w:rsidRPr="00B02F88">
          <w:rPr>
            <w:rStyle w:val="Hyperlink"/>
            <w:sz w:val="18"/>
          </w:rPr>
          <w:t>http://www.healthstarrating.gov.au/internet/healthstarrating/publishing.nsf/Content/style-guide</w:t>
        </w:r>
      </w:hyperlink>
      <w:r w:rsidRPr="00B02F88">
        <w:rPr>
          <w:sz w:val="18"/>
        </w:rPr>
        <w:t xml:space="preserve"> </w:t>
      </w:r>
    </w:p>
  </w:footnote>
  <w:footnote w:id="6">
    <w:p w14:paraId="5431EBE4" w14:textId="22B02B3E" w:rsidR="005C13CA" w:rsidRPr="00AA6A93" w:rsidRDefault="005C13CA">
      <w:pPr>
        <w:pStyle w:val="FootnoteText"/>
        <w:rPr>
          <w:lang w:val="en-AU"/>
        </w:rPr>
      </w:pPr>
      <w:r w:rsidRPr="004D3026">
        <w:rPr>
          <w:rStyle w:val="FootnoteReference"/>
          <w:sz w:val="18"/>
        </w:rPr>
        <w:footnoteRef/>
      </w:r>
      <w:r w:rsidRPr="004D3026">
        <w:rPr>
          <w:sz w:val="18"/>
        </w:rPr>
        <w:t xml:space="preserve"> When used, the descriptors ‘high’ and ‘low’ would trigger the relevant claim requirements in Standard 1.2.7 – Nutrition, Health and Related Claims.</w:t>
      </w:r>
    </w:p>
  </w:footnote>
  <w:footnote w:id="7">
    <w:p w14:paraId="40A0912D" w14:textId="77777777" w:rsidR="005C13CA" w:rsidRPr="001142C7" w:rsidRDefault="005C13CA" w:rsidP="006A25F7">
      <w:pPr>
        <w:pStyle w:val="FootnoteText"/>
        <w:rPr>
          <w:sz w:val="18"/>
          <w:lang w:val="en-AU"/>
        </w:rPr>
      </w:pPr>
      <w:r w:rsidRPr="001142C7">
        <w:rPr>
          <w:rStyle w:val="FootnoteReference"/>
          <w:sz w:val="18"/>
        </w:rPr>
        <w:footnoteRef/>
      </w:r>
      <w:r w:rsidRPr="001142C7">
        <w:rPr>
          <w:sz w:val="18"/>
        </w:rPr>
        <w:t xml:space="preserve"> </w:t>
      </w:r>
      <w:r w:rsidRPr="001142C7">
        <w:rPr>
          <w:sz w:val="18"/>
          <w:lang w:val="en-AU"/>
        </w:rPr>
        <w:t xml:space="preserve">Fvnl means fruits, vegetables, nuts and legumes including coconut, spices, herbs, fungi, seeds and algae. </w:t>
      </w:r>
    </w:p>
  </w:footnote>
  <w:footnote w:id="8">
    <w:p w14:paraId="365E28DA" w14:textId="1C097C58" w:rsidR="005C13CA" w:rsidRPr="0085129B" w:rsidRDefault="005C13CA">
      <w:pPr>
        <w:pStyle w:val="FootnoteText"/>
        <w:rPr>
          <w:sz w:val="18"/>
          <w:lang w:val="en-AU"/>
        </w:rPr>
      </w:pPr>
      <w:r w:rsidRPr="0085129B">
        <w:rPr>
          <w:rStyle w:val="FootnoteReference"/>
          <w:sz w:val="18"/>
        </w:rPr>
        <w:footnoteRef/>
      </w:r>
      <w:r w:rsidRPr="0085129B">
        <w:rPr>
          <w:sz w:val="18"/>
        </w:rPr>
        <w:t xml:space="preserve"> Refer section 6, Attachment </w:t>
      </w:r>
      <w:r>
        <w:rPr>
          <w:sz w:val="18"/>
        </w:rPr>
        <w:t>5</w:t>
      </w:r>
      <w:r w:rsidRPr="0085129B">
        <w:rPr>
          <w:sz w:val="18"/>
        </w:rPr>
        <w:t xml:space="preserve"> of the P293 Final Assessment Report, at the following link: </w:t>
      </w:r>
      <w:hyperlink r:id="rId2" w:history="1">
        <w:r w:rsidRPr="0085129B">
          <w:rPr>
            <w:rStyle w:val="Hyperlink"/>
            <w:sz w:val="18"/>
          </w:rPr>
          <w:t>http://www.foodstandards.gov.au/code/proposals/pages/proposalp293nutritionhealthandrelatedclaims/p293finalassessmentr3889.aspx</w:t>
        </w:r>
      </w:hyperlink>
      <w:r w:rsidRPr="0085129B">
        <w:rPr>
          <w:sz w:val="18"/>
        </w:rPr>
        <w:t xml:space="preserve"> </w:t>
      </w:r>
    </w:p>
  </w:footnote>
  <w:footnote w:id="9">
    <w:p w14:paraId="6B53AD9B" w14:textId="711B71DE" w:rsidR="005C13CA" w:rsidRPr="00B02F88" w:rsidRDefault="005C13CA" w:rsidP="007B7BDD">
      <w:pPr>
        <w:pStyle w:val="FootnoteText"/>
        <w:rPr>
          <w:sz w:val="18"/>
          <w:lang w:val="en-AU"/>
        </w:rPr>
      </w:pPr>
      <w:r w:rsidRPr="00B02F88">
        <w:rPr>
          <w:rStyle w:val="FootnoteReference"/>
          <w:sz w:val="18"/>
        </w:rPr>
        <w:footnoteRef/>
      </w:r>
      <w:r w:rsidRPr="00B02F88">
        <w:rPr>
          <w:sz w:val="18"/>
        </w:rPr>
        <w:t xml:space="preserve"> </w:t>
      </w:r>
      <w:r w:rsidRPr="00B02F88">
        <w:rPr>
          <w:sz w:val="18"/>
          <w:lang w:val="en-AU"/>
        </w:rPr>
        <w:t xml:space="preserve">Small package is defined in </w:t>
      </w:r>
      <w:r>
        <w:rPr>
          <w:sz w:val="18"/>
          <w:lang w:val="en-AU"/>
        </w:rPr>
        <w:t xml:space="preserve">clause 1 of </w:t>
      </w:r>
      <w:r w:rsidRPr="00B02F88">
        <w:rPr>
          <w:sz w:val="18"/>
          <w:lang w:val="en-AU"/>
        </w:rPr>
        <w:t>Standard 1.1.1 – Preliminary Provisions – Application, Interpretation and General Prohibitions</w:t>
      </w:r>
      <w:r>
        <w:rPr>
          <w:sz w:val="18"/>
          <w:lang w:val="en-AU"/>
        </w:rPr>
        <w:t xml:space="preserve"> of the current Code (Standard 1.1.2 </w:t>
      </w:r>
      <w:r w:rsidRPr="00B02F88">
        <w:rPr>
          <w:sz w:val="18"/>
          <w:lang w:val="en-AU"/>
        </w:rPr>
        <w:t>–</w:t>
      </w:r>
      <w:r>
        <w:rPr>
          <w:sz w:val="18"/>
          <w:lang w:val="en-AU"/>
        </w:rPr>
        <w:t xml:space="preserve"> Definitions used throughout the Code, of the revised Code)</w:t>
      </w:r>
      <w:r w:rsidRPr="00B02F88">
        <w:rPr>
          <w:sz w:val="18"/>
          <w:lang w:val="en-AU"/>
        </w:rPr>
        <w:t>, as a package with a surface area of less than 100 cm</w:t>
      </w:r>
      <w:r w:rsidRPr="00B02F88">
        <w:rPr>
          <w:sz w:val="18"/>
          <w:vertAlign w:val="superscript"/>
          <w:lang w:val="en-AU"/>
        </w:rPr>
        <w:t>2</w:t>
      </w:r>
      <w:r w:rsidRPr="00B02F88">
        <w:rPr>
          <w:sz w:val="18"/>
          <w:lang w:val="en-AU"/>
        </w:rPr>
        <w:t>.</w:t>
      </w:r>
    </w:p>
  </w:footnote>
  <w:footnote w:id="10">
    <w:p w14:paraId="1E0434C8" w14:textId="77777777" w:rsidR="005C13CA" w:rsidRPr="001142C7" w:rsidRDefault="005C13CA" w:rsidP="002C1A3B">
      <w:pPr>
        <w:pStyle w:val="Footnote"/>
        <w:rPr>
          <w:szCs w:val="18"/>
          <w:lang w:val="en-AU"/>
        </w:rPr>
      </w:pPr>
      <w:r w:rsidRPr="001142C7">
        <w:rPr>
          <w:rStyle w:val="FootnoteReference"/>
          <w:szCs w:val="18"/>
        </w:rPr>
        <w:footnoteRef/>
      </w:r>
      <w:r w:rsidRPr="001142C7">
        <w:rPr>
          <w:szCs w:val="18"/>
        </w:rPr>
        <w:t xml:space="preserve"> </w:t>
      </w:r>
      <w:r w:rsidRPr="001142C7">
        <w:rPr>
          <w:szCs w:val="18"/>
          <w:lang w:val="en-AU"/>
        </w:rPr>
        <w:t>Now known as the</w:t>
      </w:r>
      <w:r w:rsidRPr="001142C7">
        <w:rPr>
          <w:rFonts w:cs="Helvetica"/>
          <w:szCs w:val="18"/>
          <w:lang w:val="en-AU"/>
        </w:rPr>
        <w:t xml:space="preserve"> Australia and New Zealand Ministerial Forum on Food Regulation (convening as the Australia and New Zealand Food Regulation Ministerial Council)</w:t>
      </w:r>
    </w:p>
  </w:footnote>
  <w:footnote w:id="11">
    <w:p w14:paraId="2269A7D0" w14:textId="77777777" w:rsidR="005C13CA" w:rsidRPr="00E24DE8" w:rsidRDefault="005C13CA" w:rsidP="00250197">
      <w:pPr>
        <w:pStyle w:val="FootnoteText"/>
        <w:rPr>
          <w:lang w:val="en-AU"/>
        </w:rPr>
      </w:pPr>
      <w:r w:rsidRPr="001142C7">
        <w:rPr>
          <w:rStyle w:val="FootnoteReference"/>
          <w:sz w:val="18"/>
          <w:szCs w:val="18"/>
        </w:rPr>
        <w:footnoteRef/>
      </w:r>
      <w:r w:rsidRPr="001142C7">
        <w:rPr>
          <w:sz w:val="18"/>
          <w:szCs w:val="18"/>
        </w:rPr>
        <w:t xml:space="preserve"> </w:t>
      </w:r>
      <w:hyperlink r:id="rId3" w:history="1">
        <w:r w:rsidRPr="001142C7">
          <w:rPr>
            <w:rStyle w:val="Hyperlink"/>
            <w:sz w:val="18"/>
            <w:szCs w:val="18"/>
          </w:rPr>
          <w:t>http://www.foodstandards.gov.au/code/proposals/Pages/proposalp1025coderev5755.aspx</w:t>
        </w:r>
      </w:hyperlink>
      <w:r w:rsidRPr="001142C7">
        <w:rPr>
          <w:sz w:val="18"/>
          <w:szCs w:val="18"/>
        </w:rPr>
        <w:t xml:space="preserve"> </w:t>
      </w:r>
    </w:p>
  </w:footnote>
  <w:footnote w:id="12">
    <w:p w14:paraId="6D4306CA" w14:textId="77777777" w:rsidR="005C13CA" w:rsidRPr="0010778D" w:rsidRDefault="005C13CA" w:rsidP="002F070F">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 w:id="13">
    <w:p w14:paraId="20D464F5" w14:textId="77777777" w:rsidR="005C13CA" w:rsidRPr="00CB5D78" w:rsidRDefault="005C13CA" w:rsidP="002F070F">
      <w:pPr>
        <w:pStyle w:val="FootnoteText"/>
        <w:rPr>
          <w:sz w:val="18"/>
          <w:szCs w:val="18"/>
          <w:lang w:val="en-AU"/>
        </w:rPr>
      </w:pPr>
      <w:r w:rsidRPr="00CB5D78">
        <w:rPr>
          <w:rStyle w:val="FootnoteReference"/>
          <w:sz w:val="18"/>
          <w:szCs w:val="18"/>
        </w:rPr>
        <w:footnoteRef/>
      </w:r>
      <w:r w:rsidRPr="00CB5D78">
        <w:rPr>
          <w:sz w:val="18"/>
          <w:szCs w:val="18"/>
        </w:rPr>
        <w:t xml:space="preserve"> </w:t>
      </w:r>
      <w:r w:rsidRPr="00CB5D78">
        <w:rPr>
          <w:sz w:val="18"/>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40637" w14:textId="77777777" w:rsidR="0076369C" w:rsidRDefault="00763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795F0" w14:textId="77777777" w:rsidR="0076369C" w:rsidRDefault="00763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1CC6" w14:textId="77777777" w:rsidR="005C13CA" w:rsidRDefault="005C13C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2E5E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5320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A328E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4AEE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486927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AB2134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1044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0D002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BB4C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AC1650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13665"/>
    <w:multiLevelType w:val="hybridMultilevel"/>
    <w:tmpl w:val="BCB606CA"/>
    <w:lvl w:ilvl="0" w:tplc="E2D211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491B72"/>
    <w:multiLevelType w:val="hybridMultilevel"/>
    <w:tmpl w:val="57444A2A"/>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2">
    <w:nsid w:val="0FA30746"/>
    <w:multiLevelType w:val="hybridMultilevel"/>
    <w:tmpl w:val="6728CDA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FD33E8"/>
    <w:multiLevelType w:val="hybridMultilevel"/>
    <w:tmpl w:val="8DDE15D8"/>
    <w:lvl w:ilvl="0" w:tplc="82AC8F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F87187D"/>
    <w:multiLevelType w:val="hybridMultilevel"/>
    <w:tmpl w:val="36828816"/>
    <w:lvl w:ilvl="0" w:tplc="1034F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0057E9"/>
    <w:multiLevelType w:val="hybridMultilevel"/>
    <w:tmpl w:val="1CF8C5A0"/>
    <w:lvl w:ilvl="0" w:tplc="2E0033E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3B76A3"/>
    <w:multiLevelType w:val="hybridMultilevel"/>
    <w:tmpl w:val="79AC3A36"/>
    <w:lvl w:ilvl="0" w:tplc="0C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4522877"/>
    <w:multiLevelType w:val="hybridMultilevel"/>
    <w:tmpl w:val="1B92F9FA"/>
    <w:lvl w:ilvl="0" w:tplc="0C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nsid w:val="54CE33BA"/>
    <w:multiLevelType w:val="hybridMultilevel"/>
    <w:tmpl w:val="6246A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3"/>
  </w:num>
  <w:num w:numId="2">
    <w:abstractNumId w:val="14"/>
  </w:num>
  <w:num w:numId="3">
    <w:abstractNumId w:val="12"/>
  </w:num>
  <w:num w:numId="4">
    <w:abstractNumId w:val="15"/>
  </w:num>
  <w:num w:numId="5">
    <w:abstractNumId w:val="19"/>
  </w:num>
  <w:num w:numId="6">
    <w:abstractNumId w:val="17"/>
  </w:num>
  <w:num w:numId="7">
    <w:abstractNumId w:val="21"/>
  </w:num>
  <w:num w:numId="8">
    <w:abstractNumId w:val="10"/>
  </w:num>
  <w:num w:numId="9">
    <w:abstractNumId w:val="16"/>
  </w:num>
  <w:num w:numId="10">
    <w:abstractNumId w:val="20"/>
  </w:num>
  <w:num w:numId="11">
    <w:abstractNumId w:val="23"/>
  </w:num>
  <w:num w:numId="12">
    <w:abstractNumId w:val="18"/>
  </w:num>
  <w:num w:numId="13">
    <w:abstractNumId w:val="22"/>
  </w:num>
  <w:num w:numId="14">
    <w:abstractNumId w:val="23"/>
  </w:num>
  <w:num w:numId="15">
    <w:abstractNumId w:val="18"/>
  </w:num>
  <w:num w:numId="16">
    <w:abstractNumId w:val="22"/>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7372"/>
    <w:rsid w:val="00010E79"/>
    <w:rsid w:val="00011187"/>
    <w:rsid w:val="00014E34"/>
    <w:rsid w:val="000161E4"/>
    <w:rsid w:val="00016B73"/>
    <w:rsid w:val="000174F5"/>
    <w:rsid w:val="000205A3"/>
    <w:rsid w:val="00023102"/>
    <w:rsid w:val="0002343F"/>
    <w:rsid w:val="00027632"/>
    <w:rsid w:val="000276DB"/>
    <w:rsid w:val="000332AE"/>
    <w:rsid w:val="00034B42"/>
    <w:rsid w:val="00035FF3"/>
    <w:rsid w:val="000418F0"/>
    <w:rsid w:val="00051021"/>
    <w:rsid w:val="00051025"/>
    <w:rsid w:val="0005153B"/>
    <w:rsid w:val="000524F0"/>
    <w:rsid w:val="00052D54"/>
    <w:rsid w:val="00053E26"/>
    <w:rsid w:val="00055BFB"/>
    <w:rsid w:val="0005692F"/>
    <w:rsid w:val="0005716C"/>
    <w:rsid w:val="000575D3"/>
    <w:rsid w:val="000576EB"/>
    <w:rsid w:val="0006006E"/>
    <w:rsid w:val="00060B9F"/>
    <w:rsid w:val="00064B2D"/>
    <w:rsid w:val="00065F1F"/>
    <w:rsid w:val="00076D33"/>
    <w:rsid w:val="00076D3B"/>
    <w:rsid w:val="000771D1"/>
    <w:rsid w:val="00077859"/>
    <w:rsid w:val="00077AEA"/>
    <w:rsid w:val="00081B0A"/>
    <w:rsid w:val="00082EA1"/>
    <w:rsid w:val="000834A6"/>
    <w:rsid w:val="0008531D"/>
    <w:rsid w:val="00085F4C"/>
    <w:rsid w:val="000861A3"/>
    <w:rsid w:val="00096ABA"/>
    <w:rsid w:val="000A0E8D"/>
    <w:rsid w:val="000A2D3F"/>
    <w:rsid w:val="000A3892"/>
    <w:rsid w:val="000A3D8B"/>
    <w:rsid w:val="000B427A"/>
    <w:rsid w:val="000B5BF8"/>
    <w:rsid w:val="000B6AF2"/>
    <w:rsid w:val="000C527E"/>
    <w:rsid w:val="000C58C7"/>
    <w:rsid w:val="000D323B"/>
    <w:rsid w:val="000D62E3"/>
    <w:rsid w:val="000D6FD4"/>
    <w:rsid w:val="000D7B1C"/>
    <w:rsid w:val="000E0AE4"/>
    <w:rsid w:val="000E1EA4"/>
    <w:rsid w:val="000E3DBC"/>
    <w:rsid w:val="000E662F"/>
    <w:rsid w:val="000E6923"/>
    <w:rsid w:val="000F3CFE"/>
    <w:rsid w:val="000F654B"/>
    <w:rsid w:val="000F6568"/>
    <w:rsid w:val="00102819"/>
    <w:rsid w:val="00104544"/>
    <w:rsid w:val="0010778D"/>
    <w:rsid w:val="00107C06"/>
    <w:rsid w:val="001122EC"/>
    <w:rsid w:val="001142C7"/>
    <w:rsid w:val="0012388D"/>
    <w:rsid w:val="001246AE"/>
    <w:rsid w:val="001272ED"/>
    <w:rsid w:val="001277A1"/>
    <w:rsid w:val="00130123"/>
    <w:rsid w:val="00136B57"/>
    <w:rsid w:val="00136ED8"/>
    <w:rsid w:val="00143DBA"/>
    <w:rsid w:val="00150B54"/>
    <w:rsid w:val="0015187A"/>
    <w:rsid w:val="00151DD8"/>
    <w:rsid w:val="0015686D"/>
    <w:rsid w:val="00160CDC"/>
    <w:rsid w:val="001705FD"/>
    <w:rsid w:val="00170D08"/>
    <w:rsid w:val="0017138E"/>
    <w:rsid w:val="00173D10"/>
    <w:rsid w:val="00182B32"/>
    <w:rsid w:val="00182C4C"/>
    <w:rsid w:val="001854F0"/>
    <w:rsid w:val="001878C5"/>
    <w:rsid w:val="0019399D"/>
    <w:rsid w:val="0019717A"/>
    <w:rsid w:val="00197D8D"/>
    <w:rsid w:val="001A1A75"/>
    <w:rsid w:val="001A2075"/>
    <w:rsid w:val="001A7E9A"/>
    <w:rsid w:val="001B15AA"/>
    <w:rsid w:val="001C1343"/>
    <w:rsid w:val="001C194A"/>
    <w:rsid w:val="001C27A3"/>
    <w:rsid w:val="001C4760"/>
    <w:rsid w:val="001D43F6"/>
    <w:rsid w:val="001D4C88"/>
    <w:rsid w:val="001D53EB"/>
    <w:rsid w:val="001D7296"/>
    <w:rsid w:val="001E09FA"/>
    <w:rsid w:val="001E2199"/>
    <w:rsid w:val="001E48EA"/>
    <w:rsid w:val="001F220B"/>
    <w:rsid w:val="001F50B9"/>
    <w:rsid w:val="002006FF"/>
    <w:rsid w:val="0020298B"/>
    <w:rsid w:val="00202A6F"/>
    <w:rsid w:val="0022197C"/>
    <w:rsid w:val="00221D07"/>
    <w:rsid w:val="00224E3B"/>
    <w:rsid w:val="00226947"/>
    <w:rsid w:val="00227B3B"/>
    <w:rsid w:val="00227E4A"/>
    <w:rsid w:val="002421C1"/>
    <w:rsid w:val="00244AF8"/>
    <w:rsid w:val="002456FA"/>
    <w:rsid w:val="00250197"/>
    <w:rsid w:val="00252779"/>
    <w:rsid w:val="00254536"/>
    <w:rsid w:val="002556E0"/>
    <w:rsid w:val="00257997"/>
    <w:rsid w:val="002623AE"/>
    <w:rsid w:val="002700EB"/>
    <w:rsid w:val="002758A0"/>
    <w:rsid w:val="00291BF4"/>
    <w:rsid w:val="0029204E"/>
    <w:rsid w:val="002A0194"/>
    <w:rsid w:val="002A1C0F"/>
    <w:rsid w:val="002A5F8B"/>
    <w:rsid w:val="002A7F6C"/>
    <w:rsid w:val="002B0071"/>
    <w:rsid w:val="002B06D5"/>
    <w:rsid w:val="002C1A3B"/>
    <w:rsid w:val="002D022D"/>
    <w:rsid w:val="002E12A5"/>
    <w:rsid w:val="002E16D5"/>
    <w:rsid w:val="002E1820"/>
    <w:rsid w:val="002F070F"/>
    <w:rsid w:val="002F35EA"/>
    <w:rsid w:val="002F6488"/>
    <w:rsid w:val="00300459"/>
    <w:rsid w:val="00303835"/>
    <w:rsid w:val="003041E6"/>
    <w:rsid w:val="00305C54"/>
    <w:rsid w:val="00307283"/>
    <w:rsid w:val="0031016C"/>
    <w:rsid w:val="0031426B"/>
    <w:rsid w:val="0031592E"/>
    <w:rsid w:val="00315951"/>
    <w:rsid w:val="0031600F"/>
    <w:rsid w:val="00317200"/>
    <w:rsid w:val="0031740E"/>
    <w:rsid w:val="00317C62"/>
    <w:rsid w:val="003213F9"/>
    <w:rsid w:val="00323AB6"/>
    <w:rsid w:val="00323DBF"/>
    <w:rsid w:val="0032679C"/>
    <w:rsid w:val="00327867"/>
    <w:rsid w:val="0033031A"/>
    <w:rsid w:val="00332B12"/>
    <w:rsid w:val="00334F68"/>
    <w:rsid w:val="00336683"/>
    <w:rsid w:val="00337CBC"/>
    <w:rsid w:val="0034127E"/>
    <w:rsid w:val="003428FC"/>
    <w:rsid w:val="003447D9"/>
    <w:rsid w:val="003457E6"/>
    <w:rsid w:val="003461F1"/>
    <w:rsid w:val="00346CEC"/>
    <w:rsid w:val="003505A7"/>
    <w:rsid w:val="003507DB"/>
    <w:rsid w:val="00351A94"/>
    <w:rsid w:val="00351B07"/>
    <w:rsid w:val="00352897"/>
    <w:rsid w:val="00353B06"/>
    <w:rsid w:val="0035491A"/>
    <w:rsid w:val="00354F1D"/>
    <w:rsid w:val="00361B58"/>
    <w:rsid w:val="00364FE5"/>
    <w:rsid w:val="0036533D"/>
    <w:rsid w:val="00371B29"/>
    <w:rsid w:val="00372F09"/>
    <w:rsid w:val="00375484"/>
    <w:rsid w:val="003758F9"/>
    <w:rsid w:val="003766F8"/>
    <w:rsid w:val="003772C7"/>
    <w:rsid w:val="00377422"/>
    <w:rsid w:val="00380106"/>
    <w:rsid w:val="003814F0"/>
    <w:rsid w:val="00381E07"/>
    <w:rsid w:val="003843E9"/>
    <w:rsid w:val="0038570B"/>
    <w:rsid w:val="00385788"/>
    <w:rsid w:val="00391769"/>
    <w:rsid w:val="00393F17"/>
    <w:rsid w:val="003953E1"/>
    <w:rsid w:val="003956B3"/>
    <w:rsid w:val="003A0A4D"/>
    <w:rsid w:val="003A0E6E"/>
    <w:rsid w:val="003A3D30"/>
    <w:rsid w:val="003A471E"/>
    <w:rsid w:val="003A68BE"/>
    <w:rsid w:val="003A745C"/>
    <w:rsid w:val="003A7B84"/>
    <w:rsid w:val="003B6B84"/>
    <w:rsid w:val="003B76E0"/>
    <w:rsid w:val="003C28BB"/>
    <w:rsid w:val="003C4969"/>
    <w:rsid w:val="003C4A94"/>
    <w:rsid w:val="003D1BC2"/>
    <w:rsid w:val="003D2CDC"/>
    <w:rsid w:val="003D3152"/>
    <w:rsid w:val="003D3BA4"/>
    <w:rsid w:val="003D609A"/>
    <w:rsid w:val="003D6DD3"/>
    <w:rsid w:val="003E02D4"/>
    <w:rsid w:val="003E2504"/>
    <w:rsid w:val="003E41D5"/>
    <w:rsid w:val="003E46BA"/>
    <w:rsid w:val="003E5DCD"/>
    <w:rsid w:val="003E6850"/>
    <w:rsid w:val="003F0700"/>
    <w:rsid w:val="003F1FD9"/>
    <w:rsid w:val="003F74C1"/>
    <w:rsid w:val="00401ADE"/>
    <w:rsid w:val="00405B1A"/>
    <w:rsid w:val="00410C76"/>
    <w:rsid w:val="00411907"/>
    <w:rsid w:val="00413CAA"/>
    <w:rsid w:val="00417EE3"/>
    <w:rsid w:val="00420755"/>
    <w:rsid w:val="004207EB"/>
    <w:rsid w:val="00421730"/>
    <w:rsid w:val="00422EC9"/>
    <w:rsid w:val="00423AC7"/>
    <w:rsid w:val="00432A42"/>
    <w:rsid w:val="00437276"/>
    <w:rsid w:val="00440831"/>
    <w:rsid w:val="004456A2"/>
    <w:rsid w:val="00453646"/>
    <w:rsid w:val="00456B54"/>
    <w:rsid w:val="00456BD5"/>
    <w:rsid w:val="00457B65"/>
    <w:rsid w:val="00460E03"/>
    <w:rsid w:val="0046106F"/>
    <w:rsid w:val="00461D8A"/>
    <w:rsid w:val="004633BF"/>
    <w:rsid w:val="00464643"/>
    <w:rsid w:val="00476CB0"/>
    <w:rsid w:val="00484DF7"/>
    <w:rsid w:val="00486793"/>
    <w:rsid w:val="00486864"/>
    <w:rsid w:val="00486C66"/>
    <w:rsid w:val="0049295D"/>
    <w:rsid w:val="00492A99"/>
    <w:rsid w:val="00494A3F"/>
    <w:rsid w:val="0049728A"/>
    <w:rsid w:val="004A2037"/>
    <w:rsid w:val="004A6BCD"/>
    <w:rsid w:val="004A7055"/>
    <w:rsid w:val="004A793C"/>
    <w:rsid w:val="004B047B"/>
    <w:rsid w:val="004B4CDC"/>
    <w:rsid w:val="004C3A15"/>
    <w:rsid w:val="004C4776"/>
    <w:rsid w:val="004D121E"/>
    <w:rsid w:val="004D1B1C"/>
    <w:rsid w:val="004D3026"/>
    <w:rsid w:val="004D3396"/>
    <w:rsid w:val="004E543F"/>
    <w:rsid w:val="004E58A2"/>
    <w:rsid w:val="004E5ADD"/>
    <w:rsid w:val="004E7B2D"/>
    <w:rsid w:val="004F4F98"/>
    <w:rsid w:val="004F69F6"/>
    <w:rsid w:val="004F75B9"/>
    <w:rsid w:val="004F79AC"/>
    <w:rsid w:val="00506E9B"/>
    <w:rsid w:val="005133CF"/>
    <w:rsid w:val="0051441F"/>
    <w:rsid w:val="005207D8"/>
    <w:rsid w:val="00520E69"/>
    <w:rsid w:val="00523296"/>
    <w:rsid w:val="005237F0"/>
    <w:rsid w:val="00523930"/>
    <w:rsid w:val="005244F1"/>
    <w:rsid w:val="0052767E"/>
    <w:rsid w:val="0052775C"/>
    <w:rsid w:val="00534C41"/>
    <w:rsid w:val="00537CDC"/>
    <w:rsid w:val="00553978"/>
    <w:rsid w:val="00554839"/>
    <w:rsid w:val="00560185"/>
    <w:rsid w:val="00562877"/>
    <w:rsid w:val="00562917"/>
    <w:rsid w:val="00566E90"/>
    <w:rsid w:val="00571B8C"/>
    <w:rsid w:val="005742D0"/>
    <w:rsid w:val="0057585D"/>
    <w:rsid w:val="005811B7"/>
    <w:rsid w:val="005834E6"/>
    <w:rsid w:val="00586228"/>
    <w:rsid w:val="00590ED0"/>
    <w:rsid w:val="00592708"/>
    <w:rsid w:val="005946D3"/>
    <w:rsid w:val="005A572E"/>
    <w:rsid w:val="005A74F7"/>
    <w:rsid w:val="005B03EE"/>
    <w:rsid w:val="005B0514"/>
    <w:rsid w:val="005B06CC"/>
    <w:rsid w:val="005B39FA"/>
    <w:rsid w:val="005B6AF4"/>
    <w:rsid w:val="005B72D8"/>
    <w:rsid w:val="005B7413"/>
    <w:rsid w:val="005C04CB"/>
    <w:rsid w:val="005C13CA"/>
    <w:rsid w:val="005C2401"/>
    <w:rsid w:val="005C6F8B"/>
    <w:rsid w:val="005C7826"/>
    <w:rsid w:val="005D043E"/>
    <w:rsid w:val="005D16AD"/>
    <w:rsid w:val="005D2016"/>
    <w:rsid w:val="005D72E1"/>
    <w:rsid w:val="005E58D3"/>
    <w:rsid w:val="005E6E16"/>
    <w:rsid w:val="005F0BD9"/>
    <w:rsid w:val="005F33F9"/>
    <w:rsid w:val="005F400E"/>
    <w:rsid w:val="005F6587"/>
    <w:rsid w:val="005F7342"/>
    <w:rsid w:val="00600136"/>
    <w:rsid w:val="00602E0A"/>
    <w:rsid w:val="00606FA0"/>
    <w:rsid w:val="00610A3C"/>
    <w:rsid w:val="0061194B"/>
    <w:rsid w:val="00613385"/>
    <w:rsid w:val="006138D7"/>
    <w:rsid w:val="00615E83"/>
    <w:rsid w:val="00616017"/>
    <w:rsid w:val="00616539"/>
    <w:rsid w:val="00617944"/>
    <w:rsid w:val="00617CD5"/>
    <w:rsid w:val="00627F48"/>
    <w:rsid w:val="00633D51"/>
    <w:rsid w:val="0063455F"/>
    <w:rsid w:val="00635814"/>
    <w:rsid w:val="006430AF"/>
    <w:rsid w:val="0065225F"/>
    <w:rsid w:val="00656A01"/>
    <w:rsid w:val="00663FCF"/>
    <w:rsid w:val="006648F3"/>
    <w:rsid w:val="006652A2"/>
    <w:rsid w:val="00666AB6"/>
    <w:rsid w:val="0067097D"/>
    <w:rsid w:val="006820F2"/>
    <w:rsid w:val="00683071"/>
    <w:rsid w:val="00683E18"/>
    <w:rsid w:val="0068528A"/>
    <w:rsid w:val="00692490"/>
    <w:rsid w:val="006969CC"/>
    <w:rsid w:val="00696A15"/>
    <w:rsid w:val="00697878"/>
    <w:rsid w:val="006A07B8"/>
    <w:rsid w:val="006A1918"/>
    <w:rsid w:val="006A25F7"/>
    <w:rsid w:val="006A36DD"/>
    <w:rsid w:val="006A48A7"/>
    <w:rsid w:val="006A5D40"/>
    <w:rsid w:val="006B00A4"/>
    <w:rsid w:val="006B4EED"/>
    <w:rsid w:val="006C0045"/>
    <w:rsid w:val="006C0B6B"/>
    <w:rsid w:val="006C0C8C"/>
    <w:rsid w:val="006C22A7"/>
    <w:rsid w:val="006C5CF5"/>
    <w:rsid w:val="006D1A9E"/>
    <w:rsid w:val="006D33FF"/>
    <w:rsid w:val="006D7EA3"/>
    <w:rsid w:val="006E0CB2"/>
    <w:rsid w:val="006E10A1"/>
    <w:rsid w:val="006F06BB"/>
    <w:rsid w:val="006F4A82"/>
    <w:rsid w:val="006F7265"/>
    <w:rsid w:val="007060F1"/>
    <w:rsid w:val="0070697F"/>
    <w:rsid w:val="00710C37"/>
    <w:rsid w:val="0071279B"/>
    <w:rsid w:val="0071460A"/>
    <w:rsid w:val="007214FB"/>
    <w:rsid w:val="00723452"/>
    <w:rsid w:val="00724FA4"/>
    <w:rsid w:val="00730800"/>
    <w:rsid w:val="0073634C"/>
    <w:rsid w:val="00744BBD"/>
    <w:rsid w:val="0075266D"/>
    <w:rsid w:val="0075369E"/>
    <w:rsid w:val="00755F02"/>
    <w:rsid w:val="007602AA"/>
    <w:rsid w:val="00761328"/>
    <w:rsid w:val="00761A04"/>
    <w:rsid w:val="0076369C"/>
    <w:rsid w:val="00763FEE"/>
    <w:rsid w:val="00764A82"/>
    <w:rsid w:val="007652EF"/>
    <w:rsid w:val="00765DE1"/>
    <w:rsid w:val="00771BE4"/>
    <w:rsid w:val="00772BDC"/>
    <w:rsid w:val="00777437"/>
    <w:rsid w:val="00780792"/>
    <w:rsid w:val="0078309E"/>
    <w:rsid w:val="0078496E"/>
    <w:rsid w:val="00786770"/>
    <w:rsid w:val="00786BAA"/>
    <w:rsid w:val="00790B65"/>
    <w:rsid w:val="00795D86"/>
    <w:rsid w:val="00796396"/>
    <w:rsid w:val="007A44B4"/>
    <w:rsid w:val="007A53BF"/>
    <w:rsid w:val="007A7D3D"/>
    <w:rsid w:val="007B012A"/>
    <w:rsid w:val="007B0656"/>
    <w:rsid w:val="007B1664"/>
    <w:rsid w:val="007B225D"/>
    <w:rsid w:val="007B37B3"/>
    <w:rsid w:val="007B39BE"/>
    <w:rsid w:val="007B5933"/>
    <w:rsid w:val="007B7BDD"/>
    <w:rsid w:val="007C1C64"/>
    <w:rsid w:val="007C22CB"/>
    <w:rsid w:val="007C242D"/>
    <w:rsid w:val="007C30AB"/>
    <w:rsid w:val="007C3FD6"/>
    <w:rsid w:val="007C6470"/>
    <w:rsid w:val="007D0189"/>
    <w:rsid w:val="007D27CB"/>
    <w:rsid w:val="007E1352"/>
    <w:rsid w:val="007E48BC"/>
    <w:rsid w:val="007E67BA"/>
    <w:rsid w:val="007E79F7"/>
    <w:rsid w:val="007F0EEC"/>
    <w:rsid w:val="007F24A6"/>
    <w:rsid w:val="007F3630"/>
    <w:rsid w:val="007F76AC"/>
    <w:rsid w:val="007F7BF7"/>
    <w:rsid w:val="008019B0"/>
    <w:rsid w:val="00807559"/>
    <w:rsid w:val="00813464"/>
    <w:rsid w:val="008210B4"/>
    <w:rsid w:val="00823884"/>
    <w:rsid w:val="00831154"/>
    <w:rsid w:val="00842C83"/>
    <w:rsid w:val="00844C2F"/>
    <w:rsid w:val="008450BC"/>
    <w:rsid w:val="00845D93"/>
    <w:rsid w:val="00847066"/>
    <w:rsid w:val="00850B09"/>
    <w:rsid w:val="0085129B"/>
    <w:rsid w:val="00852A0C"/>
    <w:rsid w:val="0085334B"/>
    <w:rsid w:val="008537BA"/>
    <w:rsid w:val="00860808"/>
    <w:rsid w:val="00861C13"/>
    <w:rsid w:val="00862349"/>
    <w:rsid w:val="008631EB"/>
    <w:rsid w:val="0086571E"/>
    <w:rsid w:val="00870214"/>
    <w:rsid w:val="00871116"/>
    <w:rsid w:val="008855EB"/>
    <w:rsid w:val="00885C51"/>
    <w:rsid w:val="008951BC"/>
    <w:rsid w:val="00896B85"/>
    <w:rsid w:val="008A08CF"/>
    <w:rsid w:val="008A243D"/>
    <w:rsid w:val="008A4880"/>
    <w:rsid w:val="008A6A6E"/>
    <w:rsid w:val="008C5C20"/>
    <w:rsid w:val="008C7732"/>
    <w:rsid w:val="008D06C6"/>
    <w:rsid w:val="008D1793"/>
    <w:rsid w:val="008D5E9D"/>
    <w:rsid w:val="008E0C66"/>
    <w:rsid w:val="008E4911"/>
    <w:rsid w:val="008E57F3"/>
    <w:rsid w:val="008E6250"/>
    <w:rsid w:val="008F0334"/>
    <w:rsid w:val="009013F9"/>
    <w:rsid w:val="009076A8"/>
    <w:rsid w:val="00915403"/>
    <w:rsid w:val="00920249"/>
    <w:rsid w:val="009228E4"/>
    <w:rsid w:val="00924736"/>
    <w:rsid w:val="009279C4"/>
    <w:rsid w:val="00930416"/>
    <w:rsid w:val="00931C60"/>
    <w:rsid w:val="00932F14"/>
    <w:rsid w:val="00935215"/>
    <w:rsid w:val="0094207B"/>
    <w:rsid w:val="0094247F"/>
    <w:rsid w:val="00942D60"/>
    <w:rsid w:val="00944CE3"/>
    <w:rsid w:val="009460FA"/>
    <w:rsid w:val="00946380"/>
    <w:rsid w:val="00947534"/>
    <w:rsid w:val="009478A1"/>
    <w:rsid w:val="009514C6"/>
    <w:rsid w:val="009517FA"/>
    <w:rsid w:val="009569F8"/>
    <w:rsid w:val="00964981"/>
    <w:rsid w:val="0096523B"/>
    <w:rsid w:val="00965E2A"/>
    <w:rsid w:val="00967BF7"/>
    <w:rsid w:val="00972815"/>
    <w:rsid w:val="00972D06"/>
    <w:rsid w:val="00987A55"/>
    <w:rsid w:val="0099253F"/>
    <w:rsid w:val="0099323D"/>
    <w:rsid w:val="0099623A"/>
    <w:rsid w:val="009A0FF7"/>
    <w:rsid w:val="009A2699"/>
    <w:rsid w:val="009A2DC9"/>
    <w:rsid w:val="009A391C"/>
    <w:rsid w:val="009B14CB"/>
    <w:rsid w:val="009B54BF"/>
    <w:rsid w:val="009B564C"/>
    <w:rsid w:val="009D03CC"/>
    <w:rsid w:val="009D1BDC"/>
    <w:rsid w:val="009D3F75"/>
    <w:rsid w:val="009D44DD"/>
    <w:rsid w:val="009E0692"/>
    <w:rsid w:val="009E0A61"/>
    <w:rsid w:val="009E3010"/>
    <w:rsid w:val="009E3860"/>
    <w:rsid w:val="009E46F5"/>
    <w:rsid w:val="009F7065"/>
    <w:rsid w:val="00A021C0"/>
    <w:rsid w:val="00A135F4"/>
    <w:rsid w:val="00A17C70"/>
    <w:rsid w:val="00A2449C"/>
    <w:rsid w:val="00A2500E"/>
    <w:rsid w:val="00A25FD7"/>
    <w:rsid w:val="00A318EB"/>
    <w:rsid w:val="00A31E2E"/>
    <w:rsid w:val="00A3660E"/>
    <w:rsid w:val="00A437B9"/>
    <w:rsid w:val="00A54B26"/>
    <w:rsid w:val="00A551B9"/>
    <w:rsid w:val="00A56DC7"/>
    <w:rsid w:val="00A6394E"/>
    <w:rsid w:val="00A66FDD"/>
    <w:rsid w:val="00A671E6"/>
    <w:rsid w:val="00A709E5"/>
    <w:rsid w:val="00A748BF"/>
    <w:rsid w:val="00A74FD1"/>
    <w:rsid w:val="00A816B2"/>
    <w:rsid w:val="00A84A58"/>
    <w:rsid w:val="00A852C4"/>
    <w:rsid w:val="00A91185"/>
    <w:rsid w:val="00A929A9"/>
    <w:rsid w:val="00A9505B"/>
    <w:rsid w:val="00A96594"/>
    <w:rsid w:val="00AA3532"/>
    <w:rsid w:val="00AA41BA"/>
    <w:rsid w:val="00AA6A93"/>
    <w:rsid w:val="00AA6D0D"/>
    <w:rsid w:val="00AA6FA3"/>
    <w:rsid w:val="00AB0C68"/>
    <w:rsid w:val="00AB5C80"/>
    <w:rsid w:val="00AB6EB7"/>
    <w:rsid w:val="00AC21AB"/>
    <w:rsid w:val="00AC2CC3"/>
    <w:rsid w:val="00AC428E"/>
    <w:rsid w:val="00AC61A3"/>
    <w:rsid w:val="00AC7335"/>
    <w:rsid w:val="00AD344F"/>
    <w:rsid w:val="00AD4F1B"/>
    <w:rsid w:val="00AE4F48"/>
    <w:rsid w:val="00AE4FFD"/>
    <w:rsid w:val="00AE7EF3"/>
    <w:rsid w:val="00AF18EB"/>
    <w:rsid w:val="00AF24FA"/>
    <w:rsid w:val="00AF368A"/>
    <w:rsid w:val="00AF387F"/>
    <w:rsid w:val="00AF397D"/>
    <w:rsid w:val="00AF44C0"/>
    <w:rsid w:val="00B00E7F"/>
    <w:rsid w:val="00B05464"/>
    <w:rsid w:val="00B12547"/>
    <w:rsid w:val="00B12B9C"/>
    <w:rsid w:val="00B16201"/>
    <w:rsid w:val="00B17112"/>
    <w:rsid w:val="00B2011F"/>
    <w:rsid w:val="00B21055"/>
    <w:rsid w:val="00B21313"/>
    <w:rsid w:val="00B21DCC"/>
    <w:rsid w:val="00B25F37"/>
    <w:rsid w:val="00B26067"/>
    <w:rsid w:val="00B34EBB"/>
    <w:rsid w:val="00B355FD"/>
    <w:rsid w:val="00B37158"/>
    <w:rsid w:val="00B425AA"/>
    <w:rsid w:val="00B44422"/>
    <w:rsid w:val="00B452A1"/>
    <w:rsid w:val="00B46EA0"/>
    <w:rsid w:val="00B512C5"/>
    <w:rsid w:val="00B55714"/>
    <w:rsid w:val="00B633B6"/>
    <w:rsid w:val="00B65830"/>
    <w:rsid w:val="00B66DA5"/>
    <w:rsid w:val="00B678AD"/>
    <w:rsid w:val="00B72716"/>
    <w:rsid w:val="00B731D3"/>
    <w:rsid w:val="00B75B57"/>
    <w:rsid w:val="00B811B3"/>
    <w:rsid w:val="00B832E2"/>
    <w:rsid w:val="00B839A3"/>
    <w:rsid w:val="00B902BD"/>
    <w:rsid w:val="00B91E9B"/>
    <w:rsid w:val="00B957F5"/>
    <w:rsid w:val="00BA1009"/>
    <w:rsid w:val="00BA4E36"/>
    <w:rsid w:val="00BB0E74"/>
    <w:rsid w:val="00BB0EC9"/>
    <w:rsid w:val="00BB21D7"/>
    <w:rsid w:val="00BC6673"/>
    <w:rsid w:val="00BC79A0"/>
    <w:rsid w:val="00BD1B22"/>
    <w:rsid w:val="00BD2A39"/>
    <w:rsid w:val="00BD2E80"/>
    <w:rsid w:val="00BD3731"/>
    <w:rsid w:val="00BD49FF"/>
    <w:rsid w:val="00BD4B64"/>
    <w:rsid w:val="00BD77E1"/>
    <w:rsid w:val="00BE11B8"/>
    <w:rsid w:val="00BE7AEB"/>
    <w:rsid w:val="00BF1F5E"/>
    <w:rsid w:val="00BF4D3F"/>
    <w:rsid w:val="00BF7FF0"/>
    <w:rsid w:val="00C06ED9"/>
    <w:rsid w:val="00C07E8A"/>
    <w:rsid w:val="00C11AEA"/>
    <w:rsid w:val="00C12502"/>
    <w:rsid w:val="00C134EB"/>
    <w:rsid w:val="00C14E1B"/>
    <w:rsid w:val="00C17689"/>
    <w:rsid w:val="00C17E49"/>
    <w:rsid w:val="00C17FDA"/>
    <w:rsid w:val="00C22793"/>
    <w:rsid w:val="00C26B3B"/>
    <w:rsid w:val="00C31018"/>
    <w:rsid w:val="00C33EF2"/>
    <w:rsid w:val="00C40AA5"/>
    <w:rsid w:val="00C46F70"/>
    <w:rsid w:val="00C476D0"/>
    <w:rsid w:val="00C47737"/>
    <w:rsid w:val="00C51B5D"/>
    <w:rsid w:val="00C525B6"/>
    <w:rsid w:val="00C532C2"/>
    <w:rsid w:val="00C54316"/>
    <w:rsid w:val="00C55041"/>
    <w:rsid w:val="00C6434A"/>
    <w:rsid w:val="00C66494"/>
    <w:rsid w:val="00C73BB0"/>
    <w:rsid w:val="00C73E17"/>
    <w:rsid w:val="00C74398"/>
    <w:rsid w:val="00C830B9"/>
    <w:rsid w:val="00C836E3"/>
    <w:rsid w:val="00C836FF"/>
    <w:rsid w:val="00C83F8F"/>
    <w:rsid w:val="00C854DC"/>
    <w:rsid w:val="00C86577"/>
    <w:rsid w:val="00C91C02"/>
    <w:rsid w:val="00C923DF"/>
    <w:rsid w:val="00C926A4"/>
    <w:rsid w:val="00C92E07"/>
    <w:rsid w:val="00C96868"/>
    <w:rsid w:val="00C97BB1"/>
    <w:rsid w:val="00CA0416"/>
    <w:rsid w:val="00CA2FB2"/>
    <w:rsid w:val="00CA5734"/>
    <w:rsid w:val="00CA6B45"/>
    <w:rsid w:val="00CB115C"/>
    <w:rsid w:val="00CB4303"/>
    <w:rsid w:val="00CB5D78"/>
    <w:rsid w:val="00CB6D7D"/>
    <w:rsid w:val="00CC3764"/>
    <w:rsid w:val="00CC3A35"/>
    <w:rsid w:val="00CC5468"/>
    <w:rsid w:val="00CC560B"/>
    <w:rsid w:val="00CC75E2"/>
    <w:rsid w:val="00CC7664"/>
    <w:rsid w:val="00CD2D19"/>
    <w:rsid w:val="00CD4366"/>
    <w:rsid w:val="00CD46EB"/>
    <w:rsid w:val="00CD61BC"/>
    <w:rsid w:val="00CD7EBF"/>
    <w:rsid w:val="00CE1A24"/>
    <w:rsid w:val="00CE3030"/>
    <w:rsid w:val="00CE59AA"/>
    <w:rsid w:val="00CF0E86"/>
    <w:rsid w:val="00CF6D2D"/>
    <w:rsid w:val="00D00DFA"/>
    <w:rsid w:val="00D0494A"/>
    <w:rsid w:val="00D056F1"/>
    <w:rsid w:val="00D0646F"/>
    <w:rsid w:val="00D06616"/>
    <w:rsid w:val="00D144D7"/>
    <w:rsid w:val="00D15A08"/>
    <w:rsid w:val="00D21BED"/>
    <w:rsid w:val="00D23DB6"/>
    <w:rsid w:val="00D24AA7"/>
    <w:rsid w:val="00D51A95"/>
    <w:rsid w:val="00D53003"/>
    <w:rsid w:val="00D53384"/>
    <w:rsid w:val="00D53C79"/>
    <w:rsid w:val="00D60568"/>
    <w:rsid w:val="00D70C7A"/>
    <w:rsid w:val="00D72A29"/>
    <w:rsid w:val="00D76D02"/>
    <w:rsid w:val="00D770AC"/>
    <w:rsid w:val="00D834E5"/>
    <w:rsid w:val="00D83914"/>
    <w:rsid w:val="00D900FE"/>
    <w:rsid w:val="00D96C9C"/>
    <w:rsid w:val="00DA10A8"/>
    <w:rsid w:val="00DA6406"/>
    <w:rsid w:val="00DB0B87"/>
    <w:rsid w:val="00DB123A"/>
    <w:rsid w:val="00DB1E08"/>
    <w:rsid w:val="00DB2973"/>
    <w:rsid w:val="00DC0F4D"/>
    <w:rsid w:val="00DC0FBA"/>
    <w:rsid w:val="00DC0FCC"/>
    <w:rsid w:val="00DC1B56"/>
    <w:rsid w:val="00DC20CC"/>
    <w:rsid w:val="00DC2129"/>
    <w:rsid w:val="00DC6570"/>
    <w:rsid w:val="00DD048B"/>
    <w:rsid w:val="00DD13E8"/>
    <w:rsid w:val="00DD265C"/>
    <w:rsid w:val="00DD3703"/>
    <w:rsid w:val="00DD588C"/>
    <w:rsid w:val="00DD773B"/>
    <w:rsid w:val="00DE3A46"/>
    <w:rsid w:val="00DE5528"/>
    <w:rsid w:val="00DF25C3"/>
    <w:rsid w:val="00DF5CFF"/>
    <w:rsid w:val="00DF72BB"/>
    <w:rsid w:val="00E02E1F"/>
    <w:rsid w:val="00E04062"/>
    <w:rsid w:val="00E0616F"/>
    <w:rsid w:val="00E063C6"/>
    <w:rsid w:val="00E16135"/>
    <w:rsid w:val="00E2003B"/>
    <w:rsid w:val="00E233FA"/>
    <w:rsid w:val="00E242F4"/>
    <w:rsid w:val="00E26887"/>
    <w:rsid w:val="00E279D8"/>
    <w:rsid w:val="00E30092"/>
    <w:rsid w:val="00E30A91"/>
    <w:rsid w:val="00E319B1"/>
    <w:rsid w:val="00E327A6"/>
    <w:rsid w:val="00E34B8F"/>
    <w:rsid w:val="00E3684F"/>
    <w:rsid w:val="00E4096D"/>
    <w:rsid w:val="00E46050"/>
    <w:rsid w:val="00E47D3B"/>
    <w:rsid w:val="00E5492F"/>
    <w:rsid w:val="00E56228"/>
    <w:rsid w:val="00E572B1"/>
    <w:rsid w:val="00E6045B"/>
    <w:rsid w:val="00E60859"/>
    <w:rsid w:val="00E6100D"/>
    <w:rsid w:val="00E6369A"/>
    <w:rsid w:val="00E6713A"/>
    <w:rsid w:val="00E708A8"/>
    <w:rsid w:val="00E70A86"/>
    <w:rsid w:val="00E71B6F"/>
    <w:rsid w:val="00E73173"/>
    <w:rsid w:val="00E735AB"/>
    <w:rsid w:val="00E73E50"/>
    <w:rsid w:val="00E76861"/>
    <w:rsid w:val="00E777EC"/>
    <w:rsid w:val="00E77C84"/>
    <w:rsid w:val="00E80FCD"/>
    <w:rsid w:val="00E84034"/>
    <w:rsid w:val="00E85E50"/>
    <w:rsid w:val="00E9289F"/>
    <w:rsid w:val="00E92942"/>
    <w:rsid w:val="00E943C3"/>
    <w:rsid w:val="00EA0D5B"/>
    <w:rsid w:val="00EA2929"/>
    <w:rsid w:val="00EA7F2F"/>
    <w:rsid w:val="00EB41DA"/>
    <w:rsid w:val="00EB6590"/>
    <w:rsid w:val="00EB6E71"/>
    <w:rsid w:val="00EC00DE"/>
    <w:rsid w:val="00EC21DF"/>
    <w:rsid w:val="00EC30E1"/>
    <w:rsid w:val="00EC3436"/>
    <w:rsid w:val="00EC4198"/>
    <w:rsid w:val="00EC66BB"/>
    <w:rsid w:val="00EC7646"/>
    <w:rsid w:val="00ED172A"/>
    <w:rsid w:val="00ED32F6"/>
    <w:rsid w:val="00EE01DC"/>
    <w:rsid w:val="00EF28D0"/>
    <w:rsid w:val="00EF55F9"/>
    <w:rsid w:val="00EF6AAC"/>
    <w:rsid w:val="00EF73E3"/>
    <w:rsid w:val="00F01880"/>
    <w:rsid w:val="00F10C39"/>
    <w:rsid w:val="00F11DCB"/>
    <w:rsid w:val="00F14AB3"/>
    <w:rsid w:val="00F14BEC"/>
    <w:rsid w:val="00F14D62"/>
    <w:rsid w:val="00F150B5"/>
    <w:rsid w:val="00F15C80"/>
    <w:rsid w:val="00F224B7"/>
    <w:rsid w:val="00F225C5"/>
    <w:rsid w:val="00F2506F"/>
    <w:rsid w:val="00F2587A"/>
    <w:rsid w:val="00F33470"/>
    <w:rsid w:val="00F346C9"/>
    <w:rsid w:val="00F34E02"/>
    <w:rsid w:val="00F3715D"/>
    <w:rsid w:val="00F37A10"/>
    <w:rsid w:val="00F420C8"/>
    <w:rsid w:val="00F428D7"/>
    <w:rsid w:val="00F429CA"/>
    <w:rsid w:val="00F42A4C"/>
    <w:rsid w:val="00F439F0"/>
    <w:rsid w:val="00F46513"/>
    <w:rsid w:val="00F526BD"/>
    <w:rsid w:val="00F530D3"/>
    <w:rsid w:val="00F602CD"/>
    <w:rsid w:val="00F634A1"/>
    <w:rsid w:val="00F63C2C"/>
    <w:rsid w:val="00F73143"/>
    <w:rsid w:val="00F80BB1"/>
    <w:rsid w:val="00F813E8"/>
    <w:rsid w:val="00F930B4"/>
    <w:rsid w:val="00FA0FF5"/>
    <w:rsid w:val="00FA36CD"/>
    <w:rsid w:val="00FB3E8D"/>
    <w:rsid w:val="00FB7512"/>
    <w:rsid w:val="00FC5EFD"/>
    <w:rsid w:val="00FD0DDD"/>
    <w:rsid w:val="00FD7547"/>
    <w:rsid w:val="00FE1A9D"/>
    <w:rsid w:val="00FE287B"/>
    <w:rsid w:val="00FE6B50"/>
    <w:rsid w:val="00FF1B03"/>
    <w:rsid w:val="00FF5F5C"/>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BB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C134E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CF6D2D"/>
    <w:pPr>
      <w:keepNext/>
      <w:widowControl/>
      <w:spacing w:before="240"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F63C2C"/>
    <w:pPr>
      <w:keepNext/>
      <w:widowControl/>
      <w:spacing w:before="240" w:after="24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1142C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2527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2527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F6D2D"/>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F63C2C"/>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1142C7"/>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2527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2527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link w:val="DefinitionCharChar"/>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1142C7"/>
    <w:pPr>
      <w:widowControl/>
      <w:numPr>
        <w:numId w:val="14"/>
      </w:numPr>
      <w:ind w:left="567" w:hanging="567"/>
    </w:pPr>
    <w:rPr>
      <w:rFonts w:cs="Arial"/>
      <w:lang w:bidi="ar-SA"/>
    </w:rPr>
  </w:style>
  <w:style w:type="character" w:customStyle="1" w:styleId="FSBullet1Char">
    <w:name w:val="FSBullet 1 Char"/>
    <w:basedOn w:val="DefaultParagraphFont"/>
    <w:link w:val="FSBullet1"/>
    <w:uiPriority w:val="6"/>
    <w:rsid w:val="001142C7"/>
    <w:rPr>
      <w:rFonts w:ascii="Arial" w:hAnsi="Arial" w:cs="Arial"/>
      <w:sz w:val="22"/>
      <w:szCs w:val="24"/>
      <w:lang w:eastAsia="en-US"/>
    </w:rPr>
  </w:style>
  <w:style w:type="paragraph" w:customStyle="1" w:styleId="FSBullet2">
    <w:name w:val="FSBullet 2"/>
    <w:basedOn w:val="Normal"/>
    <w:uiPriority w:val="6"/>
    <w:qFormat/>
    <w:rsid w:val="001142C7"/>
    <w:pPr>
      <w:widowControl/>
      <w:numPr>
        <w:numId w:val="15"/>
      </w:numPr>
      <w:ind w:left="1134" w:hanging="567"/>
    </w:pPr>
    <w:rPr>
      <w:rFonts w:eastAsiaTheme="minorHAnsi" w:cstheme="minorBidi"/>
      <w:szCs w:val="22"/>
      <w:lang w:bidi="ar-SA"/>
    </w:rPr>
  </w:style>
  <w:style w:type="paragraph" w:customStyle="1" w:styleId="FSBullet3">
    <w:name w:val="FSBullet 3"/>
    <w:basedOn w:val="Normal"/>
    <w:uiPriority w:val="6"/>
    <w:qFormat/>
    <w:rsid w:val="001142C7"/>
    <w:pPr>
      <w:keepNext/>
      <w:widowControl/>
      <w:numPr>
        <w:numId w:val="16"/>
      </w:numPr>
      <w:ind w:left="1701" w:hanging="567"/>
    </w:pPr>
    <w:rPr>
      <w:rFonts w:eastAsiaTheme="minorHAnsi" w:cstheme="minorBid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0E6923"/>
    <w:pPr>
      <w:ind w:left="720"/>
      <w:contextualSpacing/>
    </w:pPr>
  </w:style>
  <w:style w:type="table" w:customStyle="1" w:styleId="TableGrid1">
    <w:name w:val="Table Grid1"/>
    <w:basedOn w:val="TableNormal"/>
    <w:next w:val="TableGrid"/>
    <w:uiPriority w:val="59"/>
    <w:rsid w:val="00023102"/>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h6Subsec">
    <w:name w:val="FSC_h6_Subsec"/>
    <w:aliases w:val="h6_Subsec"/>
    <w:basedOn w:val="Normal"/>
    <w:next w:val="FSCtMain"/>
    <w:rsid w:val="00023102"/>
    <w:pPr>
      <w:keepNext/>
      <w:spacing w:before="120" w:after="60"/>
      <w:ind w:left="1701"/>
    </w:pPr>
    <w:rPr>
      <w:rFonts w:cs="Arial"/>
      <w:bCs/>
      <w:i/>
      <w:kern w:val="32"/>
      <w:sz w:val="20"/>
      <w:szCs w:val="32"/>
      <w:lang w:val="en-AU" w:eastAsia="en-AU" w:bidi="ar-SA"/>
    </w:rPr>
  </w:style>
  <w:style w:type="paragraph" w:customStyle="1" w:styleId="FSCtMain">
    <w:name w:val="FSC_t_Main"/>
    <w:aliases w:val="t1_Main"/>
    <w:basedOn w:val="Normal"/>
    <w:rsid w:val="0002310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rsid w:val="00023102"/>
    <w:pPr>
      <w:tabs>
        <w:tab w:val="clear" w:pos="1134"/>
        <w:tab w:val="left" w:pos="1701"/>
      </w:tabs>
      <w:spacing w:before="60" w:after="60"/>
      <w:ind w:left="2268" w:hanging="2268"/>
    </w:pPr>
  </w:style>
  <w:style w:type="paragraph" w:customStyle="1" w:styleId="FSCtblAMain">
    <w:name w:val="FSC_tbl_A_Main"/>
    <w:aliases w:val="tbA_t1_Item"/>
    <w:basedOn w:val="Normal"/>
    <w:rsid w:val="00023102"/>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023102"/>
    <w:pPr>
      <w:ind w:left="397" w:hanging="397"/>
    </w:pPr>
  </w:style>
  <w:style w:type="paragraph" w:customStyle="1" w:styleId="FSCtblASubpara">
    <w:name w:val="FSC_tbl_A_Subpara"/>
    <w:aliases w:val="tbA_t2_Subpara"/>
    <w:basedOn w:val="FSCtblAMain"/>
    <w:rsid w:val="00023102"/>
    <w:pPr>
      <w:ind w:left="794" w:hanging="397"/>
    </w:pPr>
  </w:style>
  <w:style w:type="paragraph" w:customStyle="1" w:styleId="FSCtblBh2">
    <w:name w:val="FSC_tbl_B_h2"/>
    <w:aliases w:val="tbB_h2"/>
    <w:basedOn w:val="Normal"/>
    <w:rsid w:val="00023102"/>
    <w:pPr>
      <w:keepNext/>
      <w:keepLines/>
      <w:widowControl/>
      <w:spacing w:before="240" w:after="120"/>
      <w:jc w:val="center"/>
    </w:pPr>
    <w:rPr>
      <w:rFonts w:cs="Arial"/>
      <w:b/>
      <w:color w:val="000000"/>
      <w:sz w:val="18"/>
      <w:szCs w:val="22"/>
      <w:lang w:val="en-AU" w:eastAsia="en-AU" w:bidi="ar-SA"/>
    </w:rPr>
  </w:style>
  <w:style w:type="paragraph" w:customStyle="1" w:styleId="FSCtblBh3">
    <w:name w:val="FSC_tbl_B_h3"/>
    <w:aliases w:val="tbB_h3"/>
    <w:basedOn w:val="FSCtblAMain"/>
    <w:next w:val="Normal"/>
    <w:rsid w:val="00023102"/>
    <w:pPr>
      <w:ind w:left="1701"/>
    </w:pPr>
    <w:rPr>
      <w:b/>
      <w:i/>
    </w:rPr>
  </w:style>
  <w:style w:type="paragraph" w:customStyle="1" w:styleId="FSCtblBh4">
    <w:name w:val="FSC_tbl_B_h4"/>
    <w:aliases w:val="tbB_h4"/>
    <w:basedOn w:val="FSCtblAMain"/>
    <w:next w:val="Normal"/>
    <w:rsid w:val="00023102"/>
    <w:pPr>
      <w:ind w:left="1701"/>
    </w:pPr>
    <w:rPr>
      <w:i/>
    </w:rPr>
  </w:style>
  <w:style w:type="paragraph" w:customStyle="1" w:styleId="131ItemHeading">
    <w:name w:val="1.3.1 Item Heading"/>
    <w:basedOn w:val="Table2"/>
    <w:next w:val="Table2"/>
    <w:uiPriority w:val="22"/>
    <w:rsid w:val="002F070F"/>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2F070F"/>
    <w:pPr>
      <w:spacing w:after="120"/>
    </w:pPr>
    <w:rPr>
      <w:caps w:val="0"/>
      <w:sz w:val="18"/>
    </w:rPr>
  </w:style>
  <w:style w:type="paragraph" w:customStyle="1" w:styleId="142Tableheading10">
    <w:name w:val="1.4.2 Table heading1"/>
    <w:basedOn w:val="Normal"/>
    <w:uiPriority w:val="22"/>
    <w:rsid w:val="002F070F"/>
    <w:pPr>
      <w:keepNext/>
      <w:jc w:val="center"/>
    </w:pPr>
    <w:rPr>
      <w:rFonts w:ascii="Arial Bold" w:hAnsi="Arial Bold"/>
      <w:b/>
      <w:bCs/>
      <w:iCs/>
      <w:sz w:val="18"/>
    </w:rPr>
  </w:style>
  <w:style w:type="paragraph" w:customStyle="1" w:styleId="142Tabletext10">
    <w:name w:val="1.4.2 Table text1"/>
    <w:basedOn w:val="Normal"/>
    <w:link w:val="142Tabletext1Char"/>
    <w:uiPriority w:val="22"/>
    <w:rsid w:val="002F070F"/>
    <w:pPr>
      <w:ind w:left="142" w:hanging="142"/>
    </w:pPr>
    <w:rPr>
      <w:sz w:val="18"/>
      <w:szCs w:val="20"/>
    </w:rPr>
  </w:style>
  <w:style w:type="character" w:customStyle="1" w:styleId="142Tabletext1Char">
    <w:name w:val="1.4.2 Table text1 Char"/>
    <w:basedOn w:val="DefaultParagraphFont"/>
    <w:link w:val="142Tabletext10"/>
    <w:uiPriority w:val="22"/>
    <w:rsid w:val="002F070F"/>
    <w:rPr>
      <w:rFonts w:ascii="Arial" w:hAnsi="Arial"/>
      <w:sz w:val="18"/>
      <w:lang w:eastAsia="en-US" w:bidi="en-US"/>
    </w:rPr>
  </w:style>
  <w:style w:type="paragraph" w:customStyle="1" w:styleId="142Tabletext20">
    <w:name w:val="1.4.2 Table text2"/>
    <w:basedOn w:val="142Tabletext10"/>
    <w:uiPriority w:val="22"/>
    <w:rsid w:val="002F070F"/>
    <w:pPr>
      <w:jc w:val="right"/>
    </w:pPr>
  </w:style>
  <w:style w:type="paragraph" w:customStyle="1" w:styleId="Blankpage">
    <w:name w:val="Blank page"/>
    <w:basedOn w:val="Normal"/>
    <w:next w:val="Normal"/>
    <w:uiPriority w:val="23"/>
    <w:rsid w:val="002F070F"/>
    <w:pPr>
      <w:tabs>
        <w:tab w:val="left" w:pos="851"/>
      </w:tabs>
      <w:spacing w:before="6000"/>
      <w:jc w:val="center"/>
    </w:pPr>
    <w:rPr>
      <w:caps/>
      <w:szCs w:val="20"/>
    </w:rPr>
  </w:style>
  <w:style w:type="character" w:customStyle="1" w:styleId="ClauseChar">
    <w:name w:val="Clause Char"/>
    <w:basedOn w:val="DefaultParagraphFont"/>
    <w:link w:val="Clause"/>
    <w:rsid w:val="002F070F"/>
    <w:rPr>
      <w:rFonts w:ascii="Arial" w:hAnsi="Arial"/>
      <w:lang w:eastAsia="en-US" w:bidi="en-US"/>
    </w:rPr>
  </w:style>
  <w:style w:type="character" w:customStyle="1" w:styleId="DefinitionCharChar">
    <w:name w:val="Definition Char Char"/>
    <w:link w:val="Definition"/>
    <w:rsid w:val="002F070F"/>
    <w:rPr>
      <w:rFonts w:ascii="Arial" w:hAnsi="Arial"/>
      <w:lang w:eastAsia="en-US" w:bidi="en-US"/>
    </w:rPr>
  </w:style>
  <w:style w:type="character" w:customStyle="1" w:styleId="EditorialNotetextChar">
    <w:name w:val="Editorial Note text Char"/>
    <w:basedOn w:val="DefaultParagraphFont"/>
    <w:link w:val="EditorialNotetext"/>
    <w:rsid w:val="002F070F"/>
    <w:rPr>
      <w:rFonts w:ascii="Arial" w:hAnsi="Arial"/>
      <w:lang w:eastAsia="en-US" w:bidi="en-US"/>
    </w:rPr>
  </w:style>
  <w:style w:type="paragraph" w:customStyle="1" w:styleId="FSCaption">
    <w:name w:val="FSCaption"/>
    <w:basedOn w:val="Normal"/>
    <w:uiPriority w:val="9"/>
    <w:rsid w:val="002F070F"/>
    <w:pPr>
      <w:keepNext/>
      <w:keepLines/>
      <w:spacing w:before="120"/>
    </w:pPr>
    <w:rPr>
      <w:i/>
      <w:sz w:val="16"/>
      <w:szCs w:val="16"/>
    </w:rPr>
  </w:style>
  <w:style w:type="paragraph" w:customStyle="1" w:styleId="FSCFootnote">
    <w:name w:val="FSCFootnote"/>
    <w:basedOn w:val="Normal"/>
    <w:next w:val="Normal"/>
    <w:uiPriority w:val="17"/>
    <w:rsid w:val="002F070F"/>
    <w:rPr>
      <w:sz w:val="16"/>
      <w:szCs w:val="20"/>
    </w:rPr>
  </w:style>
  <w:style w:type="paragraph" w:customStyle="1" w:styleId="FSCFooter">
    <w:name w:val="FSCFooter"/>
    <w:basedOn w:val="FSCFootnote"/>
    <w:uiPriority w:val="17"/>
    <w:rsid w:val="002F070F"/>
    <w:pPr>
      <w:tabs>
        <w:tab w:val="center" w:pos="4536"/>
        <w:tab w:val="right" w:pos="9070"/>
      </w:tabs>
    </w:pPr>
    <w:rPr>
      <w:sz w:val="18"/>
      <w:szCs w:val="18"/>
    </w:rPr>
  </w:style>
  <w:style w:type="paragraph" w:customStyle="1" w:styleId="FSPagenumber">
    <w:name w:val="FSPage number"/>
    <w:basedOn w:val="Normal"/>
    <w:uiPriority w:val="1"/>
    <w:rsid w:val="002F070F"/>
    <w:pPr>
      <w:jc w:val="center"/>
    </w:pPr>
    <w:rPr>
      <w:sz w:val="20"/>
      <w:szCs w:val="20"/>
    </w:rPr>
  </w:style>
  <w:style w:type="paragraph" w:customStyle="1" w:styleId="FSTableColumnRowheading">
    <w:name w:val="FSTable Column/Row heading"/>
    <w:basedOn w:val="Normal"/>
    <w:uiPriority w:val="8"/>
    <w:rsid w:val="002F070F"/>
    <w:pPr>
      <w:spacing w:before="120" w:after="120"/>
    </w:pPr>
    <w:rPr>
      <w:b/>
      <w:sz w:val="20"/>
      <w:szCs w:val="20"/>
    </w:rPr>
  </w:style>
  <w:style w:type="paragraph" w:customStyle="1" w:styleId="FSTableFigureHeading">
    <w:name w:val="FSTable/Figure Heading"/>
    <w:basedOn w:val="Normal"/>
    <w:uiPriority w:val="7"/>
    <w:rsid w:val="002F070F"/>
    <w:pPr>
      <w:spacing w:before="120" w:after="120"/>
      <w:ind w:left="1134" w:hanging="1134"/>
    </w:pPr>
    <w:rPr>
      <w:b/>
      <w:i/>
    </w:rPr>
  </w:style>
  <w:style w:type="paragraph" w:styleId="NoSpacing">
    <w:name w:val="No Spacing"/>
    <w:uiPriority w:val="20"/>
    <w:rsid w:val="002F070F"/>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2F070F"/>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2F070F"/>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2F070F"/>
    <w:rPr>
      <w:b/>
      <w:bCs/>
      <w:i/>
      <w:iCs/>
      <w:color w:val="4F81BD" w:themeColor="accent1"/>
    </w:rPr>
  </w:style>
  <w:style w:type="paragraph" w:customStyle="1" w:styleId="FSDecisionHeading">
    <w:name w:val="FS Decision Heading"/>
    <w:basedOn w:val="Normal"/>
    <w:next w:val="FSDecisiontext"/>
    <w:rsid w:val="002F070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2F070F"/>
    <w:pPr>
      <w:pBdr>
        <w:top w:val="single" w:sz="4" w:space="1" w:color="auto"/>
        <w:left w:val="single" w:sz="4" w:space="4" w:color="auto"/>
        <w:bottom w:val="single" w:sz="4" w:space="1" w:color="auto"/>
        <w:right w:val="single" w:sz="4" w:space="4" w:color="auto"/>
      </w:pBdr>
    </w:pPr>
  </w:style>
  <w:style w:type="character" w:customStyle="1" w:styleId="BalloonTextChar">
    <w:name w:val="Balloon Text Char"/>
    <w:basedOn w:val="DefaultParagraphFont"/>
    <w:link w:val="BalloonText"/>
    <w:semiHidden/>
    <w:rsid w:val="002F070F"/>
    <w:rPr>
      <w:rFonts w:ascii="Tahoma" w:hAnsi="Tahoma" w:cs="Tahoma"/>
      <w:sz w:val="16"/>
      <w:szCs w:val="16"/>
      <w:lang w:eastAsia="en-US" w:bidi="en-US"/>
    </w:rPr>
  </w:style>
  <w:style w:type="paragraph" w:customStyle="1" w:styleId="Bullet">
    <w:name w:val="Bullet"/>
    <w:basedOn w:val="Normal"/>
    <w:next w:val="Normal"/>
    <w:rsid w:val="002F070F"/>
    <w:pPr>
      <w:ind w:left="567" w:hanging="567"/>
    </w:pPr>
    <w:rPr>
      <w:lang w:bidi="ar-SA"/>
    </w:rPr>
  </w:style>
  <w:style w:type="paragraph" w:customStyle="1" w:styleId="FSCbaseheading">
    <w:name w:val="FSC_base_heading"/>
    <w:rsid w:val="002F070F"/>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F070F"/>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F070F"/>
    <w:pPr>
      <w:spacing w:before="60" w:after="60"/>
      <w:ind w:left="0" w:firstLine="0"/>
    </w:pPr>
    <w:rPr>
      <w:sz w:val="18"/>
    </w:rPr>
  </w:style>
  <w:style w:type="paragraph" w:customStyle="1" w:styleId="FSCbaseTOC">
    <w:name w:val="FSC_base_TOC"/>
    <w:rsid w:val="002F070F"/>
    <w:pPr>
      <w:tabs>
        <w:tab w:val="right" w:pos="8278"/>
      </w:tabs>
      <w:ind w:left="2126" w:hanging="2126"/>
    </w:pPr>
    <w:rPr>
      <w:rFonts w:ascii="Arial" w:hAnsi="Arial" w:cs="Arial"/>
      <w:noProof/>
      <w:szCs w:val="22"/>
      <w:lang w:eastAsia="en-AU"/>
    </w:rPr>
  </w:style>
  <w:style w:type="paragraph" w:customStyle="1" w:styleId="FSCDraftStrip">
    <w:name w:val="FSC_Draft_Strip"/>
    <w:aliases w:val="tt_Draft_strip"/>
    <w:basedOn w:val="Normal"/>
    <w:rsid w:val="002F070F"/>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FSCfooter0">
    <w:name w:val="FSC_footer"/>
    <w:basedOn w:val="Normal"/>
    <w:rsid w:val="002F070F"/>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C134EB"/>
    <w:pPr>
      <w:spacing w:before="240" w:after="240"/>
      <w:ind w:left="851" w:hanging="851"/>
      <w:outlineLvl w:val="0"/>
    </w:pPr>
    <w:rPr>
      <w:bCs w:val="0"/>
      <w:sz w:val="36"/>
    </w:rPr>
  </w:style>
  <w:style w:type="paragraph" w:customStyle="1" w:styleId="FSCh2Part">
    <w:name w:val="FSC_h2_Part"/>
    <w:basedOn w:val="FSCbaseheading"/>
    <w:next w:val="FSCh3Standard"/>
    <w:qFormat/>
    <w:rsid w:val="001142C7"/>
    <w:pPr>
      <w:spacing w:before="240" w:after="240"/>
      <w:ind w:left="851" w:hanging="851"/>
      <w:outlineLvl w:val="1"/>
    </w:pPr>
    <w:rPr>
      <w:bCs w:val="0"/>
      <w:sz w:val="28"/>
      <w:szCs w:val="28"/>
    </w:rPr>
  </w:style>
  <w:style w:type="paragraph" w:customStyle="1" w:styleId="FSCh3Standard">
    <w:name w:val="FSC_h3_Standard"/>
    <w:basedOn w:val="FSCbaseheading"/>
    <w:next w:val="FSCh5Section"/>
    <w:qFormat/>
    <w:rsid w:val="002F070F"/>
    <w:pPr>
      <w:spacing w:before="0" w:after="240"/>
      <w:outlineLvl w:val="2"/>
    </w:pPr>
    <w:rPr>
      <w:sz w:val="32"/>
    </w:rPr>
  </w:style>
  <w:style w:type="paragraph" w:customStyle="1" w:styleId="FSCh5Section">
    <w:name w:val="FSC_h5_Section"/>
    <w:basedOn w:val="FSCbaseheading"/>
    <w:next w:val="FSCtMain"/>
    <w:qFormat/>
    <w:rsid w:val="002F070F"/>
    <w:pPr>
      <w:keepLines w:val="0"/>
      <w:widowControl w:val="0"/>
      <w:spacing w:before="240" w:after="120"/>
      <w:ind w:left="1701" w:hanging="1701"/>
      <w:outlineLvl w:val="4"/>
    </w:pPr>
    <w:rPr>
      <w:rFonts w:cs="Times New Roman"/>
      <w:sz w:val="22"/>
      <w:szCs w:val="24"/>
    </w:rPr>
  </w:style>
  <w:style w:type="paragraph" w:customStyle="1" w:styleId="FSCh3Amendmenthistory">
    <w:name w:val="FSC_h3_Amendment_history"/>
    <w:basedOn w:val="Normal"/>
    <w:rsid w:val="002F070F"/>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Contents">
    <w:name w:val="FSC_h3_Contents"/>
    <w:basedOn w:val="FSCh3Standard"/>
    <w:rsid w:val="002F070F"/>
    <w:pPr>
      <w:ind w:left="0" w:firstLine="0"/>
      <w:jc w:val="center"/>
    </w:pPr>
  </w:style>
  <w:style w:type="paragraph" w:customStyle="1" w:styleId="FSCh4Div">
    <w:name w:val="FSC_h4_Div"/>
    <w:basedOn w:val="FSCbaseheading"/>
    <w:next w:val="FSCh5Section"/>
    <w:qFormat/>
    <w:rsid w:val="002F070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F070F"/>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2F070F"/>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FSCbasepara"/>
    <w:rsid w:val="002F070F"/>
    <w:pPr>
      <w:ind w:firstLine="0"/>
    </w:pPr>
    <w:rPr>
      <w:i/>
    </w:rPr>
  </w:style>
  <w:style w:type="paragraph" w:customStyle="1" w:styleId="FSCnatHeading">
    <w:name w:val="FSC_n_at_Heading"/>
    <w:basedOn w:val="FSCtMain"/>
    <w:rsid w:val="002F070F"/>
    <w:pPr>
      <w:ind w:left="851" w:hanging="851"/>
    </w:pPr>
    <w:rPr>
      <w:sz w:val="16"/>
      <w:lang w:val="en-GB"/>
    </w:rPr>
  </w:style>
  <w:style w:type="paragraph" w:customStyle="1" w:styleId="FSCnMain">
    <w:name w:val="FSC_n_Main"/>
    <w:basedOn w:val="FSCtPara"/>
    <w:rsid w:val="002F070F"/>
    <w:rPr>
      <w:iCs w:val="0"/>
      <w:sz w:val="16"/>
      <w:szCs w:val="18"/>
      <w:lang w:val="en-GB"/>
    </w:rPr>
  </w:style>
  <w:style w:type="paragraph" w:customStyle="1" w:styleId="FSCtSubpara">
    <w:name w:val="FSC_t_Subpara"/>
    <w:basedOn w:val="FSCtMain"/>
    <w:rsid w:val="002F070F"/>
    <w:pPr>
      <w:tabs>
        <w:tab w:val="clear" w:pos="1134"/>
        <w:tab w:val="left" w:pos="2268"/>
      </w:tabs>
      <w:spacing w:before="60" w:after="60"/>
      <w:ind w:left="2835" w:hanging="2835"/>
    </w:pPr>
    <w:rPr>
      <w:lang w:val="en-GB"/>
    </w:rPr>
  </w:style>
  <w:style w:type="paragraph" w:customStyle="1" w:styleId="FSCnPara">
    <w:name w:val="FSC_n_Para"/>
    <w:basedOn w:val="FSCtSubpara"/>
    <w:rsid w:val="002F070F"/>
    <w:rPr>
      <w:sz w:val="16"/>
    </w:rPr>
  </w:style>
  <w:style w:type="paragraph" w:customStyle="1" w:styleId="FSCtSubsub">
    <w:name w:val="FSC_t_Subsub"/>
    <w:basedOn w:val="FSCtPara"/>
    <w:rsid w:val="002F070F"/>
    <w:pPr>
      <w:tabs>
        <w:tab w:val="clear" w:pos="1701"/>
        <w:tab w:val="left" w:pos="2835"/>
      </w:tabs>
      <w:ind w:left="3402" w:hanging="3402"/>
    </w:pPr>
    <w:rPr>
      <w:lang w:val="en-GB"/>
    </w:rPr>
  </w:style>
  <w:style w:type="paragraph" w:customStyle="1" w:styleId="FSCnSubpara">
    <w:name w:val="FSC_n_Subpara"/>
    <w:basedOn w:val="FSCtSubsub"/>
    <w:rsid w:val="002F070F"/>
    <w:rPr>
      <w:sz w:val="16"/>
    </w:rPr>
  </w:style>
  <w:style w:type="paragraph" w:customStyle="1" w:styleId="FSCnSubsub">
    <w:name w:val="FSC_n_Subsub"/>
    <w:basedOn w:val="FSCnSubpara"/>
    <w:rsid w:val="002F070F"/>
    <w:pPr>
      <w:tabs>
        <w:tab w:val="clear" w:pos="2835"/>
        <w:tab w:val="left" w:pos="3402"/>
      </w:tabs>
      <w:ind w:left="3969" w:hanging="3969"/>
    </w:pPr>
  </w:style>
  <w:style w:type="paragraph" w:customStyle="1" w:styleId="FSCoContents">
    <w:name w:val="FSC_o_Contents"/>
    <w:basedOn w:val="FSCh2Part"/>
    <w:rsid w:val="002F070F"/>
    <w:pPr>
      <w:ind w:left="0" w:firstLine="0"/>
      <w:jc w:val="center"/>
    </w:pPr>
  </w:style>
  <w:style w:type="paragraph" w:customStyle="1" w:styleId="FSCoDraftstrip">
    <w:name w:val="FSC_o_Draft_strip"/>
    <w:basedOn w:val="Normal"/>
    <w:rsid w:val="002F070F"/>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F070F"/>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2F070F"/>
    <w:pPr>
      <w:widowControl/>
      <w:spacing w:before="80"/>
    </w:pPr>
    <w:rPr>
      <w:color w:val="7030A0"/>
      <w:lang w:eastAsia="en-AU" w:bidi="ar-SA"/>
    </w:rPr>
  </w:style>
  <w:style w:type="paragraph" w:customStyle="1" w:styleId="FSCoFooter">
    <w:name w:val="FSC_o_Footer"/>
    <w:basedOn w:val="Normal"/>
    <w:rsid w:val="002F070F"/>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F070F"/>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F070F"/>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F070F"/>
    <w:rPr>
      <w:rFonts w:ascii="Arial" w:hAnsi="Arial"/>
      <w:b/>
      <w:noProof/>
      <w:szCs w:val="24"/>
      <w:lang w:eastAsia="en-AU"/>
    </w:rPr>
  </w:style>
  <w:style w:type="paragraph" w:customStyle="1" w:styleId="FSCoParaMark">
    <w:name w:val="FSC_o_Para_Mark"/>
    <w:basedOn w:val="Normal"/>
    <w:next w:val="Normal"/>
    <w:rsid w:val="002F070F"/>
    <w:pPr>
      <w:widowControl/>
    </w:pPr>
    <w:rPr>
      <w:sz w:val="16"/>
      <w:lang w:eastAsia="en-AU" w:bidi="ar-SA"/>
    </w:rPr>
  </w:style>
  <w:style w:type="paragraph" w:customStyle="1" w:styleId="FSCsbFirstSection">
    <w:name w:val="FSC_sb_First_Section"/>
    <w:basedOn w:val="Normal"/>
    <w:rsid w:val="002F070F"/>
    <w:pPr>
      <w:widowControl/>
      <w:spacing w:line="160" w:lineRule="exact"/>
    </w:pPr>
    <w:rPr>
      <w:sz w:val="16"/>
      <w:lang w:val="en-AU" w:eastAsia="en-AU" w:bidi="ar-SA"/>
    </w:rPr>
  </w:style>
  <w:style w:type="paragraph" w:customStyle="1" w:styleId="FSCoStandardEnd">
    <w:name w:val="FSC_o_Standard_End"/>
    <w:basedOn w:val="FSCtMain"/>
    <w:rsid w:val="002F070F"/>
    <w:pPr>
      <w:spacing w:before="240" w:after="0"/>
      <w:jc w:val="center"/>
    </w:pPr>
    <w:rPr>
      <w:iCs w:val="0"/>
      <w:lang w:val="en-GB"/>
    </w:rPr>
  </w:style>
  <w:style w:type="paragraph" w:customStyle="1" w:styleId="FSCoTitleofInstrument">
    <w:name w:val="FSC_o_Title_of_Instrument"/>
    <w:basedOn w:val="Normal"/>
    <w:rsid w:val="002F070F"/>
    <w:pPr>
      <w:widowControl/>
      <w:spacing w:before="200"/>
    </w:pPr>
    <w:rPr>
      <w:b/>
      <w:sz w:val="32"/>
      <w:lang w:eastAsia="en-AU" w:bidi="ar-SA"/>
    </w:rPr>
  </w:style>
  <w:style w:type="paragraph" w:customStyle="1" w:styleId="FSCoutChap">
    <w:name w:val="FSC_out_Chap"/>
    <w:basedOn w:val="FSCh4Div"/>
    <w:rsid w:val="002F070F"/>
    <w:pPr>
      <w:tabs>
        <w:tab w:val="left" w:pos="1701"/>
      </w:tabs>
      <w:spacing w:after="120"/>
      <w:ind w:left="3402" w:hanging="3402"/>
    </w:pPr>
  </w:style>
  <w:style w:type="paragraph" w:customStyle="1" w:styleId="FSCoutPart">
    <w:name w:val="FSC_out_Part"/>
    <w:basedOn w:val="FSCh5Section"/>
    <w:rsid w:val="002F070F"/>
    <w:pPr>
      <w:keepNext w:val="0"/>
      <w:tabs>
        <w:tab w:val="left" w:pos="1701"/>
      </w:tabs>
      <w:ind w:left="3402" w:hanging="3402"/>
    </w:pPr>
  </w:style>
  <w:style w:type="paragraph" w:customStyle="1" w:styleId="FSCoutStand">
    <w:name w:val="FSC_out_Stand"/>
    <w:basedOn w:val="FSCtMain"/>
    <w:rsid w:val="002F070F"/>
    <w:pPr>
      <w:tabs>
        <w:tab w:val="clear" w:pos="1134"/>
        <w:tab w:val="left" w:pos="1701"/>
      </w:tabs>
      <w:ind w:left="3402" w:hanging="3402"/>
    </w:pPr>
    <w:rPr>
      <w:lang w:val="en-GB"/>
    </w:rPr>
  </w:style>
  <w:style w:type="paragraph" w:customStyle="1" w:styleId="FSCpreActref">
    <w:name w:val="FSC_pre_Act_ref"/>
    <w:aliases w:val="tt_Authorising_Act"/>
    <w:basedOn w:val="Normal"/>
    <w:rsid w:val="002F070F"/>
    <w:pPr>
      <w:widowControl/>
      <w:spacing w:before="480"/>
    </w:pPr>
    <w:rPr>
      <w:rFonts w:cs="Arial"/>
      <w:i/>
      <w:sz w:val="28"/>
      <w:szCs w:val="28"/>
      <w:lang w:val="en-AU" w:eastAsia="en-AU" w:bidi="ar-SA"/>
    </w:rPr>
  </w:style>
  <w:style w:type="paragraph" w:customStyle="1" w:styleId="FSCpreContents">
    <w:name w:val="FSC_pre_Contents"/>
    <w:aliases w:val="tt_Contents"/>
    <w:basedOn w:val="FSCh2Part"/>
    <w:rsid w:val="002F070F"/>
    <w:pPr>
      <w:ind w:left="0" w:firstLine="0"/>
      <w:jc w:val="center"/>
    </w:pPr>
  </w:style>
  <w:style w:type="paragraph" w:customStyle="1" w:styleId="FSCpreDate">
    <w:name w:val="FSC_pre_Date"/>
    <w:aliases w:val="tt_Date_of_Standard"/>
    <w:basedOn w:val="Normal"/>
    <w:rsid w:val="002F070F"/>
    <w:pPr>
      <w:widowControl/>
    </w:pPr>
    <w:rPr>
      <w:rFonts w:cs="Arial"/>
      <w:i/>
      <w:sz w:val="20"/>
      <w:szCs w:val="28"/>
      <w:lang w:val="en-US" w:eastAsia="en-AU" w:bidi="ar-SA"/>
    </w:rPr>
  </w:style>
  <w:style w:type="paragraph" w:customStyle="1" w:styleId="FSCpreTitle">
    <w:name w:val="FSC_pre_Title"/>
    <w:aliases w:val="tt_Title_of_Instrument"/>
    <w:basedOn w:val="Normal"/>
    <w:rsid w:val="002F070F"/>
    <w:pPr>
      <w:widowControl/>
      <w:spacing w:before="1200"/>
    </w:pPr>
    <w:rPr>
      <w:b/>
      <w:sz w:val="32"/>
      <w:lang w:val="en-AU" w:eastAsia="en-AU" w:bidi="ar-SA"/>
    </w:rPr>
  </w:style>
  <w:style w:type="paragraph" w:customStyle="1" w:styleId="FSCsbContents">
    <w:name w:val="FSC_sb_Contents"/>
    <w:basedOn w:val="FSCsbFirstSection"/>
    <w:rsid w:val="002F070F"/>
  </w:style>
  <w:style w:type="paragraph" w:customStyle="1" w:styleId="FSCsbMainSection">
    <w:name w:val="FSC_sb_Main_Section"/>
    <w:basedOn w:val="FSCsbFirstSection"/>
    <w:rsid w:val="002F070F"/>
    <w:rPr>
      <w:b/>
      <w:bCs/>
      <w:kern w:val="32"/>
    </w:rPr>
  </w:style>
  <w:style w:type="paragraph" w:customStyle="1" w:styleId="FSCsbSchedules">
    <w:name w:val="FSC_sb_Schedules"/>
    <w:basedOn w:val="FSCsbFirstSection"/>
    <w:rsid w:val="002F070F"/>
  </w:style>
  <w:style w:type="paragraph" w:customStyle="1" w:styleId="FSCtDefn">
    <w:name w:val="FSC_t_Defn"/>
    <w:basedOn w:val="FSCtMain"/>
    <w:rsid w:val="002F070F"/>
    <w:pPr>
      <w:ind w:firstLine="0"/>
    </w:pPr>
    <w:rPr>
      <w:lang w:val="en-GB"/>
    </w:rPr>
  </w:style>
  <w:style w:type="paragraph" w:customStyle="1" w:styleId="FSCtblAh2">
    <w:name w:val="FSC_tbl_A_h2"/>
    <w:aliases w:val="tbA_h2"/>
    <w:basedOn w:val="Normal"/>
    <w:next w:val="Normal"/>
    <w:rsid w:val="002F070F"/>
    <w:pPr>
      <w:keepNext/>
      <w:keepLines/>
      <w:widowControl/>
      <w:spacing w:before="200"/>
      <w:jc w:val="center"/>
    </w:pPr>
    <w:rPr>
      <w:rFonts w:cs="Arial"/>
      <w:b/>
      <w:sz w:val="18"/>
      <w:szCs w:val="22"/>
      <w:lang w:val="en-AU" w:eastAsia="en-AU" w:bidi="ar-SA"/>
    </w:rPr>
  </w:style>
  <w:style w:type="paragraph" w:customStyle="1" w:styleId="FSCtblAh3">
    <w:name w:val="FSC_tbl_A_h3"/>
    <w:aliases w:val="tbA_h3"/>
    <w:basedOn w:val="Normal"/>
    <w:next w:val="Normal"/>
    <w:rsid w:val="002F070F"/>
    <w:pPr>
      <w:keepNext/>
      <w:keepLines/>
      <w:widowControl/>
      <w:spacing w:before="60" w:after="60"/>
    </w:pPr>
    <w:rPr>
      <w:rFonts w:cs="Arial"/>
      <w:b/>
      <w:i/>
      <w:sz w:val="18"/>
      <w:szCs w:val="22"/>
      <w:lang w:val="en-AU" w:eastAsia="en-AU" w:bidi="ar-SA"/>
    </w:rPr>
  </w:style>
  <w:style w:type="paragraph" w:customStyle="1" w:styleId="FSCtblAh3MRA">
    <w:name w:val="FSC_tbl_A_h3_MRA"/>
    <w:aliases w:val="tba_h3_MRA"/>
    <w:basedOn w:val="FSCtblAh3"/>
    <w:rsid w:val="002F070F"/>
    <w:pPr>
      <w:pBdr>
        <w:top w:val="single" w:sz="4" w:space="1" w:color="auto"/>
      </w:pBdr>
      <w:spacing w:before="140"/>
    </w:pPr>
    <w:rPr>
      <w:bCs/>
      <w:i w:val="0"/>
    </w:rPr>
  </w:style>
  <w:style w:type="paragraph" w:customStyle="1" w:styleId="FSCtblAh4">
    <w:name w:val="FSC_tbl_A_h4"/>
    <w:aliases w:val="tbA_h4"/>
    <w:basedOn w:val="Normal"/>
    <w:next w:val="Normal"/>
    <w:rsid w:val="002F070F"/>
    <w:pPr>
      <w:keepNext/>
      <w:keepLines/>
      <w:widowControl/>
      <w:spacing w:before="60" w:after="60"/>
    </w:pPr>
    <w:rPr>
      <w:rFonts w:cs="Arial"/>
      <w:i/>
      <w:sz w:val="18"/>
      <w:szCs w:val="22"/>
      <w:lang w:val="en-AU" w:eastAsia="en-AU" w:bidi="ar-SA"/>
    </w:rPr>
  </w:style>
  <w:style w:type="paragraph" w:customStyle="1" w:styleId="FSCtblAh4MRA">
    <w:name w:val="FSC_tbl_A_h4_MRA"/>
    <w:aliases w:val="tbA_h4_MRA"/>
    <w:basedOn w:val="FSCtblAh4"/>
    <w:rsid w:val="002F070F"/>
    <w:pPr>
      <w:widowControl w:val="0"/>
      <w:pBdr>
        <w:bottom w:val="single" w:sz="4" w:space="1" w:color="auto"/>
      </w:pBdr>
      <w:jc w:val="center"/>
    </w:pPr>
    <w:rPr>
      <w:iCs/>
    </w:rPr>
  </w:style>
  <w:style w:type="paragraph" w:customStyle="1" w:styleId="FSCtblAMainMRA">
    <w:name w:val="FSC_tbl_A_Main_MRA"/>
    <w:aliases w:val="tbA_t1_item_MRA"/>
    <w:basedOn w:val="FSCtblAMain"/>
    <w:rsid w:val="002F070F"/>
    <w:pPr>
      <w:tabs>
        <w:tab w:val="right" w:pos="3969"/>
      </w:tabs>
      <w:spacing w:before="0" w:after="0"/>
    </w:pPr>
    <w:rPr>
      <w:szCs w:val="20"/>
      <w:lang w:val="en-GB"/>
    </w:rPr>
  </w:style>
  <w:style w:type="paragraph" w:customStyle="1" w:styleId="FSCtblBMain">
    <w:name w:val="FSC_tbl_B_Main"/>
    <w:aliases w:val="tbB_t1_Item"/>
    <w:basedOn w:val="FSCtblAMain"/>
    <w:rsid w:val="002F070F"/>
    <w:pPr>
      <w:ind w:left="1701"/>
    </w:pPr>
    <w:rPr>
      <w:lang w:val="en-GB"/>
    </w:rPr>
  </w:style>
  <w:style w:type="character" w:customStyle="1" w:styleId="SubclauseChar">
    <w:name w:val="Subclause Char"/>
    <w:basedOn w:val="ClauseChar"/>
    <w:link w:val="Subclause"/>
    <w:locked/>
    <w:rsid w:val="002F070F"/>
    <w:rPr>
      <w:rFonts w:ascii="Arial" w:hAnsi="Arial"/>
      <w:lang w:eastAsia="en-US" w:bidi="en-US"/>
    </w:rPr>
  </w:style>
  <w:style w:type="paragraph" w:customStyle="1" w:styleId="FSCtblAddh1">
    <w:name w:val="FSC_tbl_Add_h1"/>
    <w:basedOn w:val="FSCh4Div"/>
    <w:rsid w:val="002F070F"/>
    <w:pPr>
      <w:spacing w:before="120" w:after="120"/>
    </w:pPr>
    <w:rPr>
      <w:rFonts w:eastAsiaTheme="minorHAnsi"/>
      <w:sz w:val="20"/>
      <w:lang w:eastAsia="en-US"/>
    </w:rPr>
  </w:style>
  <w:style w:type="paragraph" w:customStyle="1" w:styleId="FSCtblAddh2">
    <w:name w:val="FSC_tbl_Add_h2"/>
    <w:basedOn w:val="FSCtblAddh1"/>
    <w:rsid w:val="002F070F"/>
    <w:pPr>
      <w:spacing w:before="60" w:after="60"/>
    </w:pPr>
    <w:rPr>
      <w:i/>
    </w:rPr>
  </w:style>
  <w:style w:type="paragraph" w:customStyle="1" w:styleId="FSCtblAddh3">
    <w:name w:val="FSC_tbl_Add_h3"/>
    <w:basedOn w:val="Normal"/>
    <w:rsid w:val="002F070F"/>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F070F"/>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F070F"/>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2F070F"/>
    <w:pPr>
      <w:keepLines/>
      <w:widowControl/>
      <w:spacing w:before="20" w:after="20"/>
    </w:pPr>
    <w:rPr>
      <w:rFonts w:eastAsiaTheme="minorHAnsi" w:cs="Arial"/>
      <w:sz w:val="18"/>
      <w:szCs w:val="22"/>
      <w:lang w:bidi="ar-SA"/>
    </w:rPr>
  </w:style>
  <w:style w:type="paragraph" w:customStyle="1" w:styleId="FSCtblAdd2">
    <w:name w:val="FSC_tbl_Add2"/>
    <w:basedOn w:val="Normal"/>
    <w:rsid w:val="002F070F"/>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F070F"/>
    <w:pPr>
      <w:keepNext/>
      <w:widowControl/>
      <w:spacing w:after="60"/>
    </w:pPr>
    <w:rPr>
      <w:rFonts w:eastAsia="Calibri"/>
      <w:b/>
      <w:sz w:val="16"/>
      <w:szCs w:val="20"/>
      <w:lang w:eastAsia="en-AU" w:bidi="ar-SA"/>
    </w:rPr>
  </w:style>
  <w:style w:type="paragraph" w:customStyle="1" w:styleId="FSCtblAmendmain">
    <w:name w:val="FSC_tbl_Amend_main"/>
    <w:basedOn w:val="Normal"/>
    <w:rsid w:val="002F070F"/>
    <w:pPr>
      <w:widowControl/>
      <w:ind w:left="113" w:hanging="113"/>
    </w:pPr>
    <w:rPr>
      <w:bCs/>
      <w:sz w:val="16"/>
      <w:szCs w:val="20"/>
      <w:lang w:bidi="ar-SA"/>
    </w:rPr>
  </w:style>
  <w:style w:type="paragraph" w:customStyle="1" w:styleId="FSCtblh2">
    <w:name w:val="FSC_tbl_h2"/>
    <w:basedOn w:val="Normal"/>
    <w:rsid w:val="002F070F"/>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F070F"/>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F070F"/>
    <w:pPr>
      <w:keepNext/>
      <w:keepLines/>
      <w:widowControl/>
      <w:spacing w:before="60" w:after="60"/>
    </w:pPr>
    <w:rPr>
      <w:rFonts w:cs="Arial"/>
      <w:i/>
      <w:sz w:val="18"/>
      <w:szCs w:val="22"/>
      <w:lang w:eastAsia="en-AU" w:bidi="ar-SA"/>
    </w:rPr>
  </w:style>
  <w:style w:type="paragraph" w:customStyle="1" w:styleId="FSCtblMain">
    <w:name w:val="FSC_tbl_Main"/>
    <w:basedOn w:val="Normal"/>
    <w:rsid w:val="002F070F"/>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2F070F"/>
    <w:pPr>
      <w:jc w:val="center"/>
    </w:pPr>
    <w:rPr>
      <w:rFonts w:eastAsiaTheme="minorHAnsi"/>
      <w:lang w:eastAsia="en-US"/>
    </w:rPr>
  </w:style>
  <w:style w:type="paragraph" w:customStyle="1" w:styleId="FSCtblMainRH">
    <w:name w:val="FSC_tbl_Main_RH"/>
    <w:basedOn w:val="FSCtblMain"/>
    <w:rsid w:val="002F070F"/>
    <w:pPr>
      <w:jc w:val="right"/>
    </w:pPr>
    <w:rPr>
      <w:rFonts w:eastAsiaTheme="minorHAnsi"/>
      <w:lang w:eastAsia="en-US"/>
    </w:rPr>
  </w:style>
  <w:style w:type="paragraph" w:customStyle="1" w:styleId="FSCtblMRL1">
    <w:name w:val="FSC_tbl_MRL1"/>
    <w:basedOn w:val="Normal"/>
    <w:rsid w:val="002F070F"/>
    <w:pPr>
      <w:keepLines/>
      <w:widowControl/>
      <w:spacing w:before="20" w:after="20"/>
    </w:pPr>
    <w:rPr>
      <w:rFonts w:cs="Arial"/>
      <w:sz w:val="18"/>
      <w:szCs w:val="20"/>
      <w:lang w:eastAsia="en-AU" w:bidi="ar-SA"/>
    </w:rPr>
  </w:style>
  <w:style w:type="paragraph" w:customStyle="1" w:styleId="FSCtblMRL2">
    <w:name w:val="FSC_tbl_MRL2"/>
    <w:basedOn w:val="FSCtblMRL1"/>
    <w:rsid w:val="002F070F"/>
    <w:pPr>
      <w:jc w:val="right"/>
    </w:pPr>
    <w:rPr>
      <w:rFonts w:eastAsiaTheme="minorHAnsi"/>
      <w:lang w:eastAsia="en-US"/>
    </w:rPr>
  </w:style>
  <w:style w:type="paragraph" w:customStyle="1" w:styleId="FSCtblPara">
    <w:name w:val="FSC_tbl_Para"/>
    <w:basedOn w:val="Normal"/>
    <w:rsid w:val="002F070F"/>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F070F"/>
    <w:pPr>
      <w:keepLines/>
      <w:widowControl/>
      <w:spacing w:before="60" w:after="60"/>
      <w:ind w:left="794" w:hanging="397"/>
    </w:pPr>
    <w:rPr>
      <w:rFonts w:cs="Arial"/>
      <w:sz w:val="18"/>
      <w:szCs w:val="22"/>
      <w:lang w:eastAsia="en-AU" w:bidi="ar-SA"/>
    </w:rPr>
  </w:style>
  <w:style w:type="paragraph" w:styleId="EndnoteText">
    <w:name w:val="endnote text"/>
    <w:basedOn w:val="Normal"/>
    <w:link w:val="EndnoteTextChar"/>
    <w:rsid w:val="00D53384"/>
    <w:rPr>
      <w:sz w:val="20"/>
      <w:szCs w:val="20"/>
    </w:rPr>
  </w:style>
  <w:style w:type="character" w:customStyle="1" w:styleId="EndnoteTextChar">
    <w:name w:val="Endnote Text Char"/>
    <w:basedOn w:val="DefaultParagraphFont"/>
    <w:link w:val="EndnoteText"/>
    <w:rsid w:val="00D53384"/>
    <w:rPr>
      <w:rFonts w:ascii="Arial" w:hAnsi="Arial"/>
      <w:lang w:eastAsia="en-US" w:bidi="en-US"/>
    </w:rPr>
  </w:style>
  <w:style w:type="character" w:styleId="EndnoteReference">
    <w:name w:val="endnote reference"/>
    <w:basedOn w:val="DefaultParagraphFont"/>
    <w:rsid w:val="00D53384"/>
    <w:rPr>
      <w:vertAlign w:val="superscript"/>
    </w:rPr>
  </w:style>
  <w:style w:type="paragraph" w:styleId="Bibliography">
    <w:name w:val="Bibliography"/>
    <w:basedOn w:val="Normal"/>
    <w:next w:val="Normal"/>
    <w:uiPriority w:val="37"/>
    <w:semiHidden/>
    <w:unhideWhenUsed/>
    <w:rsid w:val="00143DBA"/>
  </w:style>
  <w:style w:type="paragraph" w:styleId="BlockText">
    <w:name w:val="Block Text"/>
    <w:basedOn w:val="Normal"/>
    <w:rsid w:val="00143DB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143DBA"/>
    <w:pPr>
      <w:spacing w:after="120"/>
    </w:pPr>
  </w:style>
  <w:style w:type="character" w:customStyle="1" w:styleId="BodyTextChar">
    <w:name w:val="Body Text Char"/>
    <w:basedOn w:val="DefaultParagraphFont"/>
    <w:link w:val="BodyText"/>
    <w:rsid w:val="00143DBA"/>
    <w:rPr>
      <w:rFonts w:ascii="Arial" w:hAnsi="Arial"/>
      <w:sz w:val="22"/>
      <w:szCs w:val="24"/>
      <w:lang w:eastAsia="en-US" w:bidi="en-US"/>
    </w:rPr>
  </w:style>
  <w:style w:type="paragraph" w:styleId="BodyText2">
    <w:name w:val="Body Text 2"/>
    <w:basedOn w:val="Normal"/>
    <w:link w:val="BodyText2Char"/>
    <w:rsid w:val="00143DBA"/>
    <w:pPr>
      <w:spacing w:after="120" w:line="480" w:lineRule="auto"/>
    </w:pPr>
  </w:style>
  <w:style w:type="character" w:customStyle="1" w:styleId="BodyText2Char">
    <w:name w:val="Body Text 2 Char"/>
    <w:basedOn w:val="DefaultParagraphFont"/>
    <w:link w:val="BodyText2"/>
    <w:rsid w:val="00143DBA"/>
    <w:rPr>
      <w:rFonts w:ascii="Arial" w:hAnsi="Arial"/>
      <w:sz w:val="22"/>
      <w:szCs w:val="24"/>
      <w:lang w:eastAsia="en-US" w:bidi="en-US"/>
    </w:rPr>
  </w:style>
  <w:style w:type="paragraph" w:styleId="BodyText3">
    <w:name w:val="Body Text 3"/>
    <w:basedOn w:val="Normal"/>
    <w:link w:val="BodyText3Char"/>
    <w:rsid w:val="00143DBA"/>
    <w:pPr>
      <w:spacing w:after="120"/>
    </w:pPr>
    <w:rPr>
      <w:sz w:val="16"/>
      <w:szCs w:val="16"/>
    </w:rPr>
  </w:style>
  <w:style w:type="character" w:customStyle="1" w:styleId="BodyText3Char">
    <w:name w:val="Body Text 3 Char"/>
    <w:basedOn w:val="DefaultParagraphFont"/>
    <w:link w:val="BodyText3"/>
    <w:rsid w:val="00143DBA"/>
    <w:rPr>
      <w:rFonts w:ascii="Arial" w:hAnsi="Arial"/>
      <w:sz w:val="16"/>
      <w:szCs w:val="16"/>
      <w:lang w:eastAsia="en-US" w:bidi="en-US"/>
    </w:rPr>
  </w:style>
  <w:style w:type="paragraph" w:styleId="BodyTextFirstIndent">
    <w:name w:val="Body Text First Indent"/>
    <w:basedOn w:val="BodyText"/>
    <w:link w:val="BodyTextFirstIndentChar"/>
    <w:rsid w:val="00143DBA"/>
    <w:pPr>
      <w:spacing w:after="0"/>
      <w:ind w:firstLine="360"/>
    </w:pPr>
  </w:style>
  <w:style w:type="character" w:customStyle="1" w:styleId="BodyTextFirstIndentChar">
    <w:name w:val="Body Text First Indent Char"/>
    <w:basedOn w:val="BodyTextChar"/>
    <w:link w:val="BodyTextFirstIndent"/>
    <w:rsid w:val="00143DBA"/>
    <w:rPr>
      <w:rFonts w:ascii="Arial" w:hAnsi="Arial"/>
      <w:sz w:val="22"/>
      <w:szCs w:val="24"/>
      <w:lang w:eastAsia="en-US" w:bidi="en-US"/>
    </w:rPr>
  </w:style>
  <w:style w:type="paragraph" w:styleId="BodyTextIndent">
    <w:name w:val="Body Text Indent"/>
    <w:basedOn w:val="Normal"/>
    <w:link w:val="BodyTextIndentChar"/>
    <w:rsid w:val="00143DBA"/>
    <w:pPr>
      <w:spacing w:after="120"/>
      <w:ind w:left="283"/>
    </w:pPr>
  </w:style>
  <w:style w:type="character" w:customStyle="1" w:styleId="BodyTextIndentChar">
    <w:name w:val="Body Text Indent Char"/>
    <w:basedOn w:val="DefaultParagraphFont"/>
    <w:link w:val="BodyTextIndent"/>
    <w:rsid w:val="00143DBA"/>
    <w:rPr>
      <w:rFonts w:ascii="Arial" w:hAnsi="Arial"/>
      <w:sz w:val="22"/>
      <w:szCs w:val="24"/>
      <w:lang w:eastAsia="en-US" w:bidi="en-US"/>
    </w:rPr>
  </w:style>
  <w:style w:type="paragraph" w:styleId="BodyTextFirstIndent2">
    <w:name w:val="Body Text First Indent 2"/>
    <w:basedOn w:val="BodyTextIndent"/>
    <w:link w:val="BodyTextFirstIndent2Char"/>
    <w:rsid w:val="00143DBA"/>
    <w:pPr>
      <w:spacing w:after="0"/>
      <w:ind w:left="360" w:firstLine="360"/>
    </w:pPr>
  </w:style>
  <w:style w:type="character" w:customStyle="1" w:styleId="BodyTextFirstIndent2Char">
    <w:name w:val="Body Text First Indent 2 Char"/>
    <w:basedOn w:val="BodyTextIndentChar"/>
    <w:link w:val="BodyTextFirstIndent2"/>
    <w:rsid w:val="00143DBA"/>
    <w:rPr>
      <w:rFonts w:ascii="Arial" w:hAnsi="Arial"/>
      <w:sz w:val="22"/>
      <w:szCs w:val="24"/>
      <w:lang w:eastAsia="en-US" w:bidi="en-US"/>
    </w:rPr>
  </w:style>
  <w:style w:type="paragraph" w:styleId="BodyTextIndent2">
    <w:name w:val="Body Text Indent 2"/>
    <w:basedOn w:val="Normal"/>
    <w:link w:val="BodyTextIndent2Char"/>
    <w:rsid w:val="00143DBA"/>
    <w:pPr>
      <w:spacing w:after="120" w:line="480" w:lineRule="auto"/>
      <w:ind w:left="283"/>
    </w:pPr>
  </w:style>
  <w:style w:type="character" w:customStyle="1" w:styleId="BodyTextIndent2Char">
    <w:name w:val="Body Text Indent 2 Char"/>
    <w:basedOn w:val="DefaultParagraphFont"/>
    <w:link w:val="BodyTextIndent2"/>
    <w:rsid w:val="00143DBA"/>
    <w:rPr>
      <w:rFonts w:ascii="Arial" w:hAnsi="Arial"/>
      <w:sz w:val="22"/>
      <w:szCs w:val="24"/>
      <w:lang w:eastAsia="en-US" w:bidi="en-US"/>
    </w:rPr>
  </w:style>
  <w:style w:type="paragraph" w:styleId="BodyTextIndent3">
    <w:name w:val="Body Text Indent 3"/>
    <w:basedOn w:val="Normal"/>
    <w:link w:val="BodyTextIndent3Char"/>
    <w:rsid w:val="00143DBA"/>
    <w:pPr>
      <w:spacing w:after="120"/>
      <w:ind w:left="283"/>
    </w:pPr>
    <w:rPr>
      <w:sz w:val="16"/>
      <w:szCs w:val="16"/>
    </w:rPr>
  </w:style>
  <w:style w:type="character" w:customStyle="1" w:styleId="BodyTextIndent3Char">
    <w:name w:val="Body Text Indent 3 Char"/>
    <w:basedOn w:val="DefaultParagraphFont"/>
    <w:link w:val="BodyTextIndent3"/>
    <w:rsid w:val="00143DBA"/>
    <w:rPr>
      <w:rFonts w:ascii="Arial" w:hAnsi="Arial"/>
      <w:sz w:val="16"/>
      <w:szCs w:val="16"/>
      <w:lang w:eastAsia="en-US" w:bidi="en-US"/>
    </w:rPr>
  </w:style>
  <w:style w:type="paragraph" w:styleId="Caption">
    <w:name w:val="caption"/>
    <w:basedOn w:val="Normal"/>
    <w:next w:val="Normal"/>
    <w:semiHidden/>
    <w:unhideWhenUsed/>
    <w:rsid w:val="00143DBA"/>
    <w:pPr>
      <w:spacing w:after="200"/>
    </w:pPr>
    <w:rPr>
      <w:b/>
      <w:bCs/>
      <w:color w:val="4F81BD" w:themeColor="accent1"/>
      <w:sz w:val="18"/>
      <w:szCs w:val="18"/>
    </w:rPr>
  </w:style>
  <w:style w:type="paragraph" w:styleId="Closing">
    <w:name w:val="Closing"/>
    <w:basedOn w:val="Normal"/>
    <w:link w:val="ClosingChar"/>
    <w:rsid w:val="00143DBA"/>
    <w:pPr>
      <w:ind w:left="4252"/>
    </w:pPr>
  </w:style>
  <w:style w:type="character" w:customStyle="1" w:styleId="ClosingChar">
    <w:name w:val="Closing Char"/>
    <w:basedOn w:val="DefaultParagraphFont"/>
    <w:link w:val="Closing"/>
    <w:rsid w:val="00143DBA"/>
    <w:rPr>
      <w:rFonts w:ascii="Arial" w:hAnsi="Arial"/>
      <w:sz w:val="22"/>
      <w:szCs w:val="24"/>
      <w:lang w:eastAsia="en-US" w:bidi="en-US"/>
    </w:rPr>
  </w:style>
  <w:style w:type="paragraph" w:styleId="Date">
    <w:name w:val="Date"/>
    <w:basedOn w:val="Normal"/>
    <w:next w:val="Normal"/>
    <w:link w:val="DateChar"/>
    <w:rsid w:val="00143DBA"/>
  </w:style>
  <w:style w:type="character" w:customStyle="1" w:styleId="DateChar">
    <w:name w:val="Date Char"/>
    <w:basedOn w:val="DefaultParagraphFont"/>
    <w:link w:val="Date"/>
    <w:rsid w:val="00143DBA"/>
    <w:rPr>
      <w:rFonts w:ascii="Arial" w:hAnsi="Arial"/>
      <w:sz w:val="22"/>
      <w:szCs w:val="24"/>
      <w:lang w:eastAsia="en-US" w:bidi="en-US"/>
    </w:rPr>
  </w:style>
  <w:style w:type="paragraph" w:styleId="DocumentMap">
    <w:name w:val="Document Map"/>
    <w:basedOn w:val="Normal"/>
    <w:link w:val="DocumentMapChar"/>
    <w:rsid w:val="00143DBA"/>
    <w:rPr>
      <w:rFonts w:ascii="Tahoma" w:hAnsi="Tahoma" w:cs="Tahoma"/>
      <w:sz w:val="16"/>
      <w:szCs w:val="16"/>
    </w:rPr>
  </w:style>
  <w:style w:type="character" w:customStyle="1" w:styleId="DocumentMapChar">
    <w:name w:val="Document Map Char"/>
    <w:basedOn w:val="DefaultParagraphFont"/>
    <w:link w:val="DocumentMap"/>
    <w:rsid w:val="00143DBA"/>
    <w:rPr>
      <w:rFonts w:ascii="Tahoma" w:hAnsi="Tahoma" w:cs="Tahoma"/>
      <w:sz w:val="16"/>
      <w:szCs w:val="16"/>
      <w:lang w:eastAsia="en-US" w:bidi="en-US"/>
    </w:rPr>
  </w:style>
  <w:style w:type="paragraph" w:styleId="E-mailSignature">
    <w:name w:val="E-mail Signature"/>
    <w:basedOn w:val="Normal"/>
    <w:link w:val="E-mailSignatureChar"/>
    <w:rsid w:val="00143DBA"/>
  </w:style>
  <w:style w:type="character" w:customStyle="1" w:styleId="E-mailSignatureChar">
    <w:name w:val="E-mail Signature Char"/>
    <w:basedOn w:val="DefaultParagraphFont"/>
    <w:link w:val="E-mailSignature"/>
    <w:rsid w:val="00143DBA"/>
    <w:rPr>
      <w:rFonts w:ascii="Arial" w:hAnsi="Arial"/>
      <w:sz w:val="22"/>
      <w:szCs w:val="24"/>
      <w:lang w:eastAsia="en-US" w:bidi="en-US"/>
    </w:rPr>
  </w:style>
  <w:style w:type="paragraph" w:styleId="EnvelopeAddress">
    <w:name w:val="envelope address"/>
    <w:basedOn w:val="Normal"/>
    <w:rsid w:val="00143DB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143DBA"/>
    <w:rPr>
      <w:rFonts w:asciiTheme="majorHAnsi" w:eastAsiaTheme="majorEastAsia" w:hAnsiTheme="majorHAnsi" w:cstheme="majorBidi"/>
      <w:sz w:val="20"/>
      <w:szCs w:val="20"/>
    </w:rPr>
  </w:style>
  <w:style w:type="paragraph" w:styleId="HTMLAddress">
    <w:name w:val="HTML Address"/>
    <w:basedOn w:val="Normal"/>
    <w:link w:val="HTMLAddressChar"/>
    <w:rsid w:val="00143DBA"/>
    <w:rPr>
      <w:i/>
      <w:iCs/>
    </w:rPr>
  </w:style>
  <w:style w:type="character" w:customStyle="1" w:styleId="HTMLAddressChar">
    <w:name w:val="HTML Address Char"/>
    <w:basedOn w:val="DefaultParagraphFont"/>
    <w:link w:val="HTMLAddress"/>
    <w:rsid w:val="00143DBA"/>
    <w:rPr>
      <w:rFonts w:ascii="Arial" w:hAnsi="Arial"/>
      <w:i/>
      <w:iCs/>
      <w:sz w:val="22"/>
      <w:szCs w:val="24"/>
      <w:lang w:eastAsia="en-US" w:bidi="en-US"/>
    </w:rPr>
  </w:style>
  <w:style w:type="paragraph" w:styleId="HTMLPreformatted">
    <w:name w:val="HTML Preformatted"/>
    <w:basedOn w:val="Normal"/>
    <w:link w:val="HTMLPreformattedChar"/>
    <w:rsid w:val="00143DBA"/>
    <w:rPr>
      <w:rFonts w:ascii="Consolas" w:hAnsi="Consolas" w:cs="Consolas"/>
      <w:sz w:val="20"/>
      <w:szCs w:val="20"/>
    </w:rPr>
  </w:style>
  <w:style w:type="character" w:customStyle="1" w:styleId="HTMLPreformattedChar">
    <w:name w:val="HTML Preformatted Char"/>
    <w:basedOn w:val="DefaultParagraphFont"/>
    <w:link w:val="HTMLPreformatted"/>
    <w:rsid w:val="00143DBA"/>
    <w:rPr>
      <w:rFonts w:ascii="Consolas" w:hAnsi="Consolas" w:cs="Consolas"/>
      <w:lang w:eastAsia="en-US" w:bidi="en-US"/>
    </w:rPr>
  </w:style>
  <w:style w:type="paragraph" w:styleId="Index1">
    <w:name w:val="index 1"/>
    <w:basedOn w:val="Normal"/>
    <w:next w:val="Normal"/>
    <w:autoRedefine/>
    <w:rsid w:val="00143DBA"/>
    <w:pPr>
      <w:ind w:left="220" w:hanging="220"/>
    </w:pPr>
  </w:style>
  <w:style w:type="paragraph" w:styleId="Index2">
    <w:name w:val="index 2"/>
    <w:basedOn w:val="Normal"/>
    <w:next w:val="Normal"/>
    <w:autoRedefine/>
    <w:rsid w:val="00143DBA"/>
    <w:pPr>
      <w:ind w:left="440" w:hanging="220"/>
    </w:pPr>
  </w:style>
  <w:style w:type="paragraph" w:styleId="Index3">
    <w:name w:val="index 3"/>
    <w:basedOn w:val="Normal"/>
    <w:next w:val="Normal"/>
    <w:autoRedefine/>
    <w:rsid w:val="00143DBA"/>
    <w:pPr>
      <w:ind w:left="660" w:hanging="220"/>
    </w:pPr>
  </w:style>
  <w:style w:type="paragraph" w:styleId="Index4">
    <w:name w:val="index 4"/>
    <w:basedOn w:val="Normal"/>
    <w:next w:val="Normal"/>
    <w:autoRedefine/>
    <w:rsid w:val="00143DBA"/>
    <w:pPr>
      <w:ind w:left="880" w:hanging="220"/>
    </w:pPr>
  </w:style>
  <w:style w:type="paragraph" w:styleId="Index5">
    <w:name w:val="index 5"/>
    <w:basedOn w:val="Normal"/>
    <w:next w:val="Normal"/>
    <w:autoRedefine/>
    <w:rsid w:val="00143DBA"/>
    <w:pPr>
      <w:ind w:left="1100" w:hanging="220"/>
    </w:pPr>
  </w:style>
  <w:style w:type="paragraph" w:styleId="Index6">
    <w:name w:val="index 6"/>
    <w:basedOn w:val="Normal"/>
    <w:next w:val="Normal"/>
    <w:autoRedefine/>
    <w:rsid w:val="00143DBA"/>
    <w:pPr>
      <w:ind w:left="1320" w:hanging="220"/>
    </w:pPr>
  </w:style>
  <w:style w:type="paragraph" w:styleId="Index7">
    <w:name w:val="index 7"/>
    <w:basedOn w:val="Normal"/>
    <w:next w:val="Normal"/>
    <w:autoRedefine/>
    <w:rsid w:val="00143DBA"/>
    <w:pPr>
      <w:ind w:left="1540" w:hanging="220"/>
    </w:pPr>
  </w:style>
  <w:style w:type="paragraph" w:styleId="Index8">
    <w:name w:val="index 8"/>
    <w:basedOn w:val="Normal"/>
    <w:next w:val="Normal"/>
    <w:autoRedefine/>
    <w:rsid w:val="00143DBA"/>
    <w:pPr>
      <w:ind w:left="1760" w:hanging="220"/>
    </w:pPr>
  </w:style>
  <w:style w:type="paragraph" w:styleId="Index9">
    <w:name w:val="index 9"/>
    <w:basedOn w:val="Normal"/>
    <w:next w:val="Normal"/>
    <w:autoRedefine/>
    <w:rsid w:val="00143DBA"/>
    <w:pPr>
      <w:ind w:left="1980" w:hanging="220"/>
    </w:pPr>
  </w:style>
  <w:style w:type="paragraph" w:styleId="IndexHeading">
    <w:name w:val="index heading"/>
    <w:basedOn w:val="Normal"/>
    <w:next w:val="Index1"/>
    <w:rsid w:val="00143DB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43D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3DBA"/>
    <w:rPr>
      <w:rFonts w:ascii="Arial" w:hAnsi="Arial"/>
      <w:b/>
      <w:bCs/>
      <w:i/>
      <w:iCs/>
      <w:color w:val="4F81BD" w:themeColor="accent1"/>
      <w:sz w:val="22"/>
      <w:szCs w:val="24"/>
      <w:lang w:eastAsia="en-US" w:bidi="en-US"/>
    </w:rPr>
  </w:style>
  <w:style w:type="paragraph" w:styleId="List">
    <w:name w:val="List"/>
    <w:basedOn w:val="Normal"/>
    <w:rsid w:val="00143DBA"/>
    <w:pPr>
      <w:ind w:left="283" w:hanging="283"/>
      <w:contextualSpacing/>
    </w:pPr>
  </w:style>
  <w:style w:type="paragraph" w:styleId="List2">
    <w:name w:val="List 2"/>
    <w:basedOn w:val="Normal"/>
    <w:rsid w:val="00143DBA"/>
    <w:pPr>
      <w:ind w:left="566" w:hanging="283"/>
      <w:contextualSpacing/>
    </w:pPr>
  </w:style>
  <w:style w:type="paragraph" w:styleId="List3">
    <w:name w:val="List 3"/>
    <w:basedOn w:val="Normal"/>
    <w:rsid w:val="00143DBA"/>
    <w:pPr>
      <w:ind w:left="849" w:hanging="283"/>
      <w:contextualSpacing/>
    </w:pPr>
  </w:style>
  <w:style w:type="paragraph" w:styleId="List4">
    <w:name w:val="List 4"/>
    <w:basedOn w:val="Normal"/>
    <w:rsid w:val="00143DBA"/>
    <w:pPr>
      <w:ind w:left="1132" w:hanging="283"/>
      <w:contextualSpacing/>
    </w:pPr>
  </w:style>
  <w:style w:type="paragraph" w:styleId="List5">
    <w:name w:val="List 5"/>
    <w:basedOn w:val="Normal"/>
    <w:rsid w:val="00143DBA"/>
    <w:pPr>
      <w:ind w:left="1415" w:hanging="283"/>
      <w:contextualSpacing/>
    </w:pPr>
  </w:style>
  <w:style w:type="paragraph" w:styleId="ListBullet">
    <w:name w:val="List Bullet"/>
    <w:basedOn w:val="Normal"/>
    <w:rsid w:val="00143DBA"/>
    <w:pPr>
      <w:numPr>
        <w:numId w:val="18"/>
      </w:numPr>
      <w:contextualSpacing/>
    </w:pPr>
  </w:style>
  <w:style w:type="paragraph" w:styleId="ListBullet2">
    <w:name w:val="List Bullet 2"/>
    <w:basedOn w:val="Normal"/>
    <w:rsid w:val="00143DBA"/>
    <w:pPr>
      <w:numPr>
        <w:numId w:val="19"/>
      </w:numPr>
      <w:contextualSpacing/>
    </w:pPr>
  </w:style>
  <w:style w:type="paragraph" w:styleId="ListBullet3">
    <w:name w:val="List Bullet 3"/>
    <w:basedOn w:val="Normal"/>
    <w:rsid w:val="00143DBA"/>
    <w:pPr>
      <w:numPr>
        <w:numId w:val="20"/>
      </w:numPr>
      <w:contextualSpacing/>
    </w:pPr>
  </w:style>
  <w:style w:type="paragraph" w:styleId="ListBullet4">
    <w:name w:val="List Bullet 4"/>
    <w:basedOn w:val="Normal"/>
    <w:rsid w:val="00143DBA"/>
    <w:pPr>
      <w:numPr>
        <w:numId w:val="21"/>
      </w:numPr>
      <w:contextualSpacing/>
    </w:pPr>
  </w:style>
  <w:style w:type="paragraph" w:styleId="ListBullet5">
    <w:name w:val="List Bullet 5"/>
    <w:basedOn w:val="Normal"/>
    <w:rsid w:val="00143DBA"/>
    <w:pPr>
      <w:numPr>
        <w:numId w:val="22"/>
      </w:numPr>
      <w:contextualSpacing/>
    </w:pPr>
  </w:style>
  <w:style w:type="paragraph" w:styleId="ListContinue">
    <w:name w:val="List Continue"/>
    <w:basedOn w:val="Normal"/>
    <w:rsid w:val="00143DBA"/>
    <w:pPr>
      <w:spacing w:after="120"/>
      <w:ind w:left="283"/>
      <w:contextualSpacing/>
    </w:pPr>
  </w:style>
  <w:style w:type="paragraph" w:styleId="ListContinue2">
    <w:name w:val="List Continue 2"/>
    <w:basedOn w:val="Normal"/>
    <w:rsid w:val="00143DBA"/>
    <w:pPr>
      <w:spacing w:after="120"/>
      <w:ind w:left="566"/>
      <w:contextualSpacing/>
    </w:pPr>
  </w:style>
  <w:style w:type="paragraph" w:styleId="ListContinue3">
    <w:name w:val="List Continue 3"/>
    <w:basedOn w:val="Normal"/>
    <w:rsid w:val="00143DBA"/>
    <w:pPr>
      <w:spacing w:after="120"/>
      <w:ind w:left="849"/>
      <w:contextualSpacing/>
    </w:pPr>
  </w:style>
  <w:style w:type="paragraph" w:styleId="ListContinue4">
    <w:name w:val="List Continue 4"/>
    <w:basedOn w:val="Normal"/>
    <w:rsid w:val="00143DBA"/>
    <w:pPr>
      <w:spacing w:after="120"/>
      <w:ind w:left="1132"/>
      <w:contextualSpacing/>
    </w:pPr>
  </w:style>
  <w:style w:type="paragraph" w:styleId="ListContinue5">
    <w:name w:val="List Continue 5"/>
    <w:basedOn w:val="Normal"/>
    <w:rsid w:val="00143DBA"/>
    <w:pPr>
      <w:spacing w:after="120"/>
      <w:ind w:left="1415"/>
      <w:contextualSpacing/>
    </w:pPr>
  </w:style>
  <w:style w:type="paragraph" w:styleId="ListNumber">
    <w:name w:val="List Number"/>
    <w:basedOn w:val="Normal"/>
    <w:rsid w:val="00143DBA"/>
    <w:pPr>
      <w:numPr>
        <w:numId w:val="23"/>
      </w:numPr>
      <w:contextualSpacing/>
    </w:pPr>
  </w:style>
  <w:style w:type="paragraph" w:styleId="ListNumber2">
    <w:name w:val="List Number 2"/>
    <w:basedOn w:val="Normal"/>
    <w:rsid w:val="00143DBA"/>
    <w:pPr>
      <w:numPr>
        <w:numId w:val="24"/>
      </w:numPr>
      <w:contextualSpacing/>
    </w:pPr>
  </w:style>
  <w:style w:type="paragraph" w:styleId="ListNumber3">
    <w:name w:val="List Number 3"/>
    <w:basedOn w:val="Normal"/>
    <w:rsid w:val="00143DBA"/>
    <w:pPr>
      <w:numPr>
        <w:numId w:val="25"/>
      </w:numPr>
      <w:contextualSpacing/>
    </w:pPr>
  </w:style>
  <w:style w:type="paragraph" w:styleId="ListNumber4">
    <w:name w:val="List Number 4"/>
    <w:basedOn w:val="Normal"/>
    <w:rsid w:val="00143DBA"/>
    <w:pPr>
      <w:numPr>
        <w:numId w:val="26"/>
      </w:numPr>
      <w:contextualSpacing/>
    </w:pPr>
  </w:style>
  <w:style w:type="paragraph" w:styleId="ListNumber5">
    <w:name w:val="List Number 5"/>
    <w:basedOn w:val="Normal"/>
    <w:rsid w:val="00143DBA"/>
    <w:pPr>
      <w:numPr>
        <w:numId w:val="27"/>
      </w:numPr>
      <w:contextualSpacing/>
    </w:pPr>
  </w:style>
  <w:style w:type="paragraph" w:styleId="MacroText">
    <w:name w:val="macro"/>
    <w:link w:val="MacroTextChar"/>
    <w:rsid w:val="00143DBA"/>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143DBA"/>
    <w:rPr>
      <w:rFonts w:ascii="Consolas" w:hAnsi="Consolas" w:cs="Consolas"/>
      <w:lang w:eastAsia="en-US" w:bidi="en-US"/>
    </w:rPr>
  </w:style>
  <w:style w:type="paragraph" w:styleId="MessageHeader">
    <w:name w:val="Message Header"/>
    <w:basedOn w:val="Normal"/>
    <w:link w:val="MessageHeaderChar"/>
    <w:rsid w:val="00143D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143DBA"/>
    <w:rPr>
      <w:rFonts w:asciiTheme="majorHAnsi" w:eastAsiaTheme="majorEastAsia" w:hAnsiTheme="majorHAnsi" w:cstheme="majorBidi"/>
      <w:sz w:val="24"/>
      <w:szCs w:val="24"/>
      <w:shd w:val="pct20" w:color="auto" w:fill="auto"/>
      <w:lang w:eastAsia="en-US" w:bidi="en-US"/>
    </w:rPr>
  </w:style>
  <w:style w:type="paragraph" w:styleId="NormalWeb">
    <w:name w:val="Normal (Web)"/>
    <w:basedOn w:val="Normal"/>
    <w:rsid w:val="00143DBA"/>
    <w:rPr>
      <w:rFonts w:ascii="Times New Roman" w:hAnsi="Times New Roman"/>
      <w:sz w:val="24"/>
    </w:rPr>
  </w:style>
  <w:style w:type="paragraph" w:styleId="NormalIndent">
    <w:name w:val="Normal Indent"/>
    <w:basedOn w:val="Normal"/>
    <w:rsid w:val="00143DBA"/>
    <w:pPr>
      <w:ind w:left="567"/>
    </w:pPr>
  </w:style>
  <w:style w:type="paragraph" w:styleId="NoteHeading">
    <w:name w:val="Note Heading"/>
    <w:basedOn w:val="Normal"/>
    <w:next w:val="Normal"/>
    <w:link w:val="NoteHeadingChar"/>
    <w:rsid w:val="00143DBA"/>
  </w:style>
  <w:style w:type="character" w:customStyle="1" w:styleId="NoteHeadingChar">
    <w:name w:val="Note Heading Char"/>
    <w:basedOn w:val="DefaultParagraphFont"/>
    <w:link w:val="NoteHeading"/>
    <w:rsid w:val="00143DBA"/>
    <w:rPr>
      <w:rFonts w:ascii="Arial" w:hAnsi="Arial"/>
      <w:sz w:val="22"/>
      <w:szCs w:val="24"/>
      <w:lang w:eastAsia="en-US" w:bidi="en-US"/>
    </w:rPr>
  </w:style>
  <w:style w:type="paragraph" w:styleId="PlainText">
    <w:name w:val="Plain Text"/>
    <w:basedOn w:val="Normal"/>
    <w:link w:val="PlainTextChar"/>
    <w:rsid w:val="00143DBA"/>
    <w:rPr>
      <w:rFonts w:ascii="Consolas" w:hAnsi="Consolas" w:cs="Consolas"/>
      <w:sz w:val="21"/>
      <w:szCs w:val="21"/>
    </w:rPr>
  </w:style>
  <w:style w:type="character" w:customStyle="1" w:styleId="PlainTextChar">
    <w:name w:val="Plain Text Char"/>
    <w:basedOn w:val="DefaultParagraphFont"/>
    <w:link w:val="PlainText"/>
    <w:rsid w:val="00143DBA"/>
    <w:rPr>
      <w:rFonts w:ascii="Consolas" w:hAnsi="Consolas" w:cs="Consolas"/>
      <w:sz w:val="21"/>
      <w:szCs w:val="21"/>
      <w:lang w:eastAsia="en-US" w:bidi="en-US"/>
    </w:rPr>
  </w:style>
  <w:style w:type="paragraph" w:styleId="Quote">
    <w:name w:val="Quote"/>
    <w:basedOn w:val="Normal"/>
    <w:next w:val="Normal"/>
    <w:link w:val="QuoteChar"/>
    <w:uiPriority w:val="29"/>
    <w:rsid w:val="00143DBA"/>
    <w:rPr>
      <w:i/>
      <w:iCs/>
      <w:color w:val="000000" w:themeColor="text1"/>
    </w:rPr>
  </w:style>
  <w:style w:type="character" w:customStyle="1" w:styleId="QuoteChar">
    <w:name w:val="Quote Char"/>
    <w:basedOn w:val="DefaultParagraphFont"/>
    <w:link w:val="Quote"/>
    <w:uiPriority w:val="29"/>
    <w:rsid w:val="00143DBA"/>
    <w:rPr>
      <w:rFonts w:ascii="Arial" w:hAnsi="Arial"/>
      <w:i/>
      <w:iCs/>
      <w:color w:val="000000" w:themeColor="text1"/>
      <w:sz w:val="22"/>
      <w:szCs w:val="24"/>
      <w:lang w:eastAsia="en-US" w:bidi="en-US"/>
    </w:rPr>
  </w:style>
  <w:style w:type="paragraph" w:styleId="Salutation">
    <w:name w:val="Salutation"/>
    <w:basedOn w:val="Normal"/>
    <w:next w:val="Normal"/>
    <w:link w:val="SalutationChar"/>
    <w:rsid w:val="00143DBA"/>
  </w:style>
  <w:style w:type="character" w:customStyle="1" w:styleId="SalutationChar">
    <w:name w:val="Salutation Char"/>
    <w:basedOn w:val="DefaultParagraphFont"/>
    <w:link w:val="Salutation"/>
    <w:rsid w:val="00143DBA"/>
    <w:rPr>
      <w:rFonts w:ascii="Arial" w:hAnsi="Arial"/>
      <w:sz w:val="22"/>
      <w:szCs w:val="24"/>
      <w:lang w:eastAsia="en-US" w:bidi="en-US"/>
    </w:rPr>
  </w:style>
  <w:style w:type="paragraph" w:styleId="Signature">
    <w:name w:val="Signature"/>
    <w:basedOn w:val="Normal"/>
    <w:link w:val="SignatureChar"/>
    <w:rsid w:val="00143DBA"/>
    <w:pPr>
      <w:ind w:left="4252"/>
    </w:pPr>
  </w:style>
  <w:style w:type="character" w:customStyle="1" w:styleId="SignatureChar">
    <w:name w:val="Signature Char"/>
    <w:basedOn w:val="DefaultParagraphFont"/>
    <w:link w:val="Signature"/>
    <w:rsid w:val="00143DBA"/>
    <w:rPr>
      <w:rFonts w:ascii="Arial" w:hAnsi="Arial"/>
      <w:sz w:val="22"/>
      <w:szCs w:val="24"/>
      <w:lang w:eastAsia="en-US" w:bidi="en-US"/>
    </w:rPr>
  </w:style>
  <w:style w:type="paragraph" w:styleId="TableofAuthorities">
    <w:name w:val="table of authorities"/>
    <w:basedOn w:val="Normal"/>
    <w:next w:val="Normal"/>
    <w:rsid w:val="00143DBA"/>
    <w:pPr>
      <w:ind w:left="220" w:hanging="220"/>
    </w:pPr>
  </w:style>
  <w:style w:type="paragraph" w:styleId="TableofFigures">
    <w:name w:val="table of figures"/>
    <w:basedOn w:val="Normal"/>
    <w:next w:val="Normal"/>
    <w:rsid w:val="00143DBA"/>
  </w:style>
  <w:style w:type="paragraph" w:styleId="Title">
    <w:name w:val="Title"/>
    <w:basedOn w:val="Normal"/>
    <w:next w:val="Normal"/>
    <w:link w:val="TitleChar"/>
    <w:uiPriority w:val="10"/>
    <w:rsid w:val="00143D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BA"/>
    <w:rPr>
      <w:rFonts w:asciiTheme="majorHAnsi" w:eastAsiaTheme="majorEastAsia" w:hAnsiTheme="majorHAnsi" w:cstheme="majorBidi"/>
      <w:color w:val="17365D" w:themeColor="text2" w:themeShade="BF"/>
      <w:spacing w:val="5"/>
      <w:kern w:val="28"/>
      <w:sz w:val="52"/>
      <w:szCs w:val="52"/>
      <w:lang w:eastAsia="en-US" w:bidi="en-US"/>
    </w:rPr>
  </w:style>
  <w:style w:type="paragraph" w:styleId="TOAHeading">
    <w:name w:val="toa heading"/>
    <w:basedOn w:val="Normal"/>
    <w:next w:val="Normal"/>
    <w:rsid w:val="00143DBA"/>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C134E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CF6D2D"/>
    <w:pPr>
      <w:keepNext/>
      <w:widowControl/>
      <w:spacing w:before="240"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F63C2C"/>
    <w:pPr>
      <w:keepNext/>
      <w:widowControl/>
      <w:spacing w:before="240" w:after="24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1142C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2527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2527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F6D2D"/>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F63C2C"/>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1142C7"/>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2527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2527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link w:val="DefinitionCharChar"/>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1142C7"/>
    <w:pPr>
      <w:widowControl/>
      <w:numPr>
        <w:numId w:val="14"/>
      </w:numPr>
      <w:ind w:left="567" w:hanging="567"/>
    </w:pPr>
    <w:rPr>
      <w:rFonts w:cs="Arial"/>
      <w:lang w:bidi="ar-SA"/>
    </w:rPr>
  </w:style>
  <w:style w:type="character" w:customStyle="1" w:styleId="FSBullet1Char">
    <w:name w:val="FSBullet 1 Char"/>
    <w:basedOn w:val="DefaultParagraphFont"/>
    <w:link w:val="FSBullet1"/>
    <w:uiPriority w:val="6"/>
    <w:rsid w:val="001142C7"/>
    <w:rPr>
      <w:rFonts w:ascii="Arial" w:hAnsi="Arial" w:cs="Arial"/>
      <w:sz w:val="22"/>
      <w:szCs w:val="24"/>
      <w:lang w:eastAsia="en-US"/>
    </w:rPr>
  </w:style>
  <w:style w:type="paragraph" w:customStyle="1" w:styleId="FSBullet2">
    <w:name w:val="FSBullet 2"/>
    <w:basedOn w:val="Normal"/>
    <w:uiPriority w:val="6"/>
    <w:qFormat/>
    <w:rsid w:val="001142C7"/>
    <w:pPr>
      <w:widowControl/>
      <w:numPr>
        <w:numId w:val="15"/>
      </w:numPr>
      <w:ind w:left="1134" w:hanging="567"/>
    </w:pPr>
    <w:rPr>
      <w:rFonts w:eastAsiaTheme="minorHAnsi" w:cstheme="minorBidi"/>
      <w:szCs w:val="22"/>
      <w:lang w:bidi="ar-SA"/>
    </w:rPr>
  </w:style>
  <w:style w:type="paragraph" w:customStyle="1" w:styleId="FSBullet3">
    <w:name w:val="FSBullet 3"/>
    <w:basedOn w:val="Normal"/>
    <w:uiPriority w:val="6"/>
    <w:qFormat/>
    <w:rsid w:val="001142C7"/>
    <w:pPr>
      <w:keepNext/>
      <w:widowControl/>
      <w:numPr>
        <w:numId w:val="16"/>
      </w:numPr>
      <w:ind w:left="1701" w:hanging="567"/>
    </w:pPr>
    <w:rPr>
      <w:rFonts w:eastAsiaTheme="minorHAnsi" w:cstheme="minorBid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0E6923"/>
    <w:pPr>
      <w:ind w:left="720"/>
      <w:contextualSpacing/>
    </w:pPr>
  </w:style>
  <w:style w:type="table" w:customStyle="1" w:styleId="TableGrid1">
    <w:name w:val="Table Grid1"/>
    <w:basedOn w:val="TableNormal"/>
    <w:next w:val="TableGrid"/>
    <w:uiPriority w:val="59"/>
    <w:rsid w:val="00023102"/>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h6Subsec">
    <w:name w:val="FSC_h6_Subsec"/>
    <w:aliases w:val="h6_Subsec"/>
    <w:basedOn w:val="Normal"/>
    <w:next w:val="FSCtMain"/>
    <w:rsid w:val="00023102"/>
    <w:pPr>
      <w:keepNext/>
      <w:spacing w:before="120" w:after="60"/>
      <w:ind w:left="1701"/>
    </w:pPr>
    <w:rPr>
      <w:rFonts w:cs="Arial"/>
      <w:bCs/>
      <w:i/>
      <w:kern w:val="32"/>
      <w:sz w:val="20"/>
      <w:szCs w:val="32"/>
      <w:lang w:val="en-AU" w:eastAsia="en-AU" w:bidi="ar-SA"/>
    </w:rPr>
  </w:style>
  <w:style w:type="paragraph" w:customStyle="1" w:styleId="FSCtMain">
    <w:name w:val="FSC_t_Main"/>
    <w:aliases w:val="t1_Main"/>
    <w:basedOn w:val="Normal"/>
    <w:rsid w:val="0002310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rsid w:val="00023102"/>
    <w:pPr>
      <w:tabs>
        <w:tab w:val="clear" w:pos="1134"/>
        <w:tab w:val="left" w:pos="1701"/>
      </w:tabs>
      <w:spacing w:before="60" w:after="60"/>
      <w:ind w:left="2268" w:hanging="2268"/>
    </w:pPr>
  </w:style>
  <w:style w:type="paragraph" w:customStyle="1" w:styleId="FSCtblAMain">
    <w:name w:val="FSC_tbl_A_Main"/>
    <w:aliases w:val="tbA_t1_Item"/>
    <w:basedOn w:val="Normal"/>
    <w:rsid w:val="00023102"/>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023102"/>
    <w:pPr>
      <w:ind w:left="397" w:hanging="397"/>
    </w:pPr>
  </w:style>
  <w:style w:type="paragraph" w:customStyle="1" w:styleId="FSCtblASubpara">
    <w:name w:val="FSC_tbl_A_Subpara"/>
    <w:aliases w:val="tbA_t2_Subpara"/>
    <w:basedOn w:val="FSCtblAMain"/>
    <w:rsid w:val="00023102"/>
    <w:pPr>
      <w:ind w:left="794" w:hanging="397"/>
    </w:pPr>
  </w:style>
  <w:style w:type="paragraph" w:customStyle="1" w:styleId="FSCtblBh2">
    <w:name w:val="FSC_tbl_B_h2"/>
    <w:aliases w:val="tbB_h2"/>
    <w:basedOn w:val="Normal"/>
    <w:rsid w:val="00023102"/>
    <w:pPr>
      <w:keepNext/>
      <w:keepLines/>
      <w:widowControl/>
      <w:spacing w:before="240" w:after="120"/>
      <w:jc w:val="center"/>
    </w:pPr>
    <w:rPr>
      <w:rFonts w:cs="Arial"/>
      <w:b/>
      <w:color w:val="000000"/>
      <w:sz w:val="18"/>
      <w:szCs w:val="22"/>
      <w:lang w:val="en-AU" w:eastAsia="en-AU" w:bidi="ar-SA"/>
    </w:rPr>
  </w:style>
  <w:style w:type="paragraph" w:customStyle="1" w:styleId="FSCtblBh3">
    <w:name w:val="FSC_tbl_B_h3"/>
    <w:aliases w:val="tbB_h3"/>
    <w:basedOn w:val="FSCtblAMain"/>
    <w:next w:val="Normal"/>
    <w:rsid w:val="00023102"/>
    <w:pPr>
      <w:ind w:left="1701"/>
    </w:pPr>
    <w:rPr>
      <w:b/>
      <w:i/>
    </w:rPr>
  </w:style>
  <w:style w:type="paragraph" w:customStyle="1" w:styleId="FSCtblBh4">
    <w:name w:val="FSC_tbl_B_h4"/>
    <w:aliases w:val="tbB_h4"/>
    <w:basedOn w:val="FSCtblAMain"/>
    <w:next w:val="Normal"/>
    <w:rsid w:val="00023102"/>
    <w:pPr>
      <w:ind w:left="1701"/>
    </w:pPr>
    <w:rPr>
      <w:i/>
    </w:rPr>
  </w:style>
  <w:style w:type="paragraph" w:customStyle="1" w:styleId="131ItemHeading">
    <w:name w:val="1.3.1 Item Heading"/>
    <w:basedOn w:val="Table2"/>
    <w:next w:val="Table2"/>
    <w:uiPriority w:val="22"/>
    <w:rsid w:val="002F070F"/>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2F070F"/>
    <w:pPr>
      <w:spacing w:after="120"/>
    </w:pPr>
    <w:rPr>
      <w:caps w:val="0"/>
      <w:sz w:val="18"/>
    </w:rPr>
  </w:style>
  <w:style w:type="paragraph" w:customStyle="1" w:styleId="142Tableheading10">
    <w:name w:val="1.4.2 Table heading1"/>
    <w:basedOn w:val="Normal"/>
    <w:uiPriority w:val="22"/>
    <w:rsid w:val="002F070F"/>
    <w:pPr>
      <w:keepNext/>
      <w:jc w:val="center"/>
    </w:pPr>
    <w:rPr>
      <w:rFonts w:ascii="Arial Bold" w:hAnsi="Arial Bold"/>
      <w:b/>
      <w:bCs/>
      <w:iCs/>
      <w:sz w:val="18"/>
    </w:rPr>
  </w:style>
  <w:style w:type="paragraph" w:customStyle="1" w:styleId="142Tabletext10">
    <w:name w:val="1.4.2 Table text1"/>
    <w:basedOn w:val="Normal"/>
    <w:link w:val="142Tabletext1Char"/>
    <w:uiPriority w:val="22"/>
    <w:rsid w:val="002F070F"/>
    <w:pPr>
      <w:ind w:left="142" w:hanging="142"/>
    </w:pPr>
    <w:rPr>
      <w:sz w:val="18"/>
      <w:szCs w:val="20"/>
    </w:rPr>
  </w:style>
  <w:style w:type="character" w:customStyle="1" w:styleId="142Tabletext1Char">
    <w:name w:val="1.4.2 Table text1 Char"/>
    <w:basedOn w:val="DefaultParagraphFont"/>
    <w:link w:val="142Tabletext10"/>
    <w:uiPriority w:val="22"/>
    <w:rsid w:val="002F070F"/>
    <w:rPr>
      <w:rFonts w:ascii="Arial" w:hAnsi="Arial"/>
      <w:sz w:val="18"/>
      <w:lang w:eastAsia="en-US" w:bidi="en-US"/>
    </w:rPr>
  </w:style>
  <w:style w:type="paragraph" w:customStyle="1" w:styleId="142Tabletext20">
    <w:name w:val="1.4.2 Table text2"/>
    <w:basedOn w:val="142Tabletext10"/>
    <w:uiPriority w:val="22"/>
    <w:rsid w:val="002F070F"/>
    <w:pPr>
      <w:jc w:val="right"/>
    </w:pPr>
  </w:style>
  <w:style w:type="paragraph" w:customStyle="1" w:styleId="Blankpage">
    <w:name w:val="Blank page"/>
    <w:basedOn w:val="Normal"/>
    <w:next w:val="Normal"/>
    <w:uiPriority w:val="23"/>
    <w:rsid w:val="002F070F"/>
    <w:pPr>
      <w:tabs>
        <w:tab w:val="left" w:pos="851"/>
      </w:tabs>
      <w:spacing w:before="6000"/>
      <w:jc w:val="center"/>
    </w:pPr>
    <w:rPr>
      <w:caps/>
      <w:szCs w:val="20"/>
    </w:rPr>
  </w:style>
  <w:style w:type="character" w:customStyle="1" w:styleId="ClauseChar">
    <w:name w:val="Clause Char"/>
    <w:basedOn w:val="DefaultParagraphFont"/>
    <w:link w:val="Clause"/>
    <w:rsid w:val="002F070F"/>
    <w:rPr>
      <w:rFonts w:ascii="Arial" w:hAnsi="Arial"/>
      <w:lang w:eastAsia="en-US" w:bidi="en-US"/>
    </w:rPr>
  </w:style>
  <w:style w:type="character" w:customStyle="1" w:styleId="DefinitionCharChar">
    <w:name w:val="Definition Char Char"/>
    <w:link w:val="Definition"/>
    <w:rsid w:val="002F070F"/>
    <w:rPr>
      <w:rFonts w:ascii="Arial" w:hAnsi="Arial"/>
      <w:lang w:eastAsia="en-US" w:bidi="en-US"/>
    </w:rPr>
  </w:style>
  <w:style w:type="character" w:customStyle="1" w:styleId="EditorialNotetextChar">
    <w:name w:val="Editorial Note text Char"/>
    <w:basedOn w:val="DefaultParagraphFont"/>
    <w:link w:val="EditorialNotetext"/>
    <w:rsid w:val="002F070F"/>
    <w:rPr>
      <w:rFonts w:ascii="Arial" w:hAnsi="Arial"/>
      <w:lang w:eastAsia="en-US" w:bidi="en-US"/>
    </w:rPr>
  </w:style>
  <w:style w:type="paragraph" w:customStyle="1" w:styleId="FSCaption">
    <w:name w:val="FSCaption"/>
    <w:basedOn w:val="Normal"/>
    <w:uiPriority w:val="9"/>
    <w:rsid w:val="002F070F"/>
    <w:pPr>
      <w:keepNext/>
      <w:keepLines/>
      <w:spacing w:before="120"/>
    </w:pPr>
    <w:rPr>
      <w:i/>
      <w:sz w:val="16"/>
      <w:szCs w:val="16"/>
    </w:rPr>
  </w:style>
  <w:style w:type="paragraph" w:customStyle="1" w:styleId="FSCFootnote">
    <w:name w:val="FSCFootnote"/>
    <w:basedOn w:val="Normal"/>
    <w:next w:val="Normal"/>
    <w:uiPriority w:val="17"/>
    <w:rsid w:val="002F070F"/>
    <w:rPr>
      <w:sz w:val="16"/>
      <w:szCs w:val="20"/>
    </w:rPr>
  </w:style>
  <w:style w:type="paragraph" w:customStyle="1" w:styleId="FSCFooter">
    <w:name w:val="FSCFooter"/>
    <w:basedOn w:val="FSCFootnote"/>
    <w:uiPriority w:val="17"/>
    <w:rsid w:val="002F070F"/>
    <w:pPr>
      <w:tabs>
        <w:tab w:val="center" w:pos="4536"/>
        <w:tab w:val="right" w:pos="9070"/>
      </w:tabs>
    </w:pPr>
    <w:rPr>
      <w:sz w:val="18"/>
      <w:szCs w:val="18"/>
    </w:rPr>
  </w:style>
  <w:style w:type="paragraph" w:customStyle="1" w:styleId="FSPagenumber">
    <w:name w:val="FSPage number"/>
    <w:basedOn w:val="Normal"/>
    <w:uiPriority w:val="1"/>
    <w:rsid w:val="002F070F"/>
    <w:pPr>
      <w:jc w:val="center"/>
    </w:pPr>
    <w:rPr>
      <w:sz w:val="20"/>
      <w:szCs w:val="20"/>
    </w:rPr>
  </w:style>
  <w:style w:type="paragraph" w:customStyle="1" w:styleId="FSTableColumnRowheading">
    <w:name w:val="FSTable Column/Row heading"/>
    <w:basedOn w:val="Normal"/>
    <w:uiPriority w:val="8"/>
    <w:rsid w:val="002F070F"/>
    <w:pPr>
      <w:spacing w:before="120" w:after="120"/>
    </w:pPr>
    <w:rPr>
      <w:b/>
      <w:sz w:val="20"/>
      <w:szCs w:val="20"/>
    </w:rPr>
  </w:style>
  <w:style w:type="paragraph" w:customStyle="1" w:styleId="FSTableFigureHeading">
    <w:name w:val="FSTable/Figure Heading"/>
    <w:basedOn w:val="Normal"/>
    <w:uiPriority w:val="7"/>
    <w:rsid w:val="002F070F"/>
    <w:pPr>
      <w:spacing w:before="120" w:after="120"/>
      <w:ind w:left="1134" w:hanging="1134"/>
    </w:pPr>
    <w:rPr>
      <w:b/>
      <w:i/>
    </w:rPr>
  </w:style>
  <w:style w:type="paragraph" w:styleId="NoSpacing">
    <w:name w:val="No Spacing"/>
    <w:uiPriority w:val="20"/>
    <w:rsid w:val="002F070F"/>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2F070F"/>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2F070F"/>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2F070F"/>
    <w:rPr>
      <w:b/>
      <w:bCs/>
      <w:i/>
      <w:iCs/>
      <w:color w:val="4F81BD" w:themeColor="accent1"/>
    </w:rPr>
  </w:style>
  <w:style w:type="paragraph" w:customStyle="1" w:styleId="FSDecisionHeading">
    <w:name w:val="FS Decision Heading"/>
    <w:basedOn w:val="Normal"/>
    <w:next w:val="FSDecisiontext"/>
    <w:rsid w:val="002F070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2F070F"/>
    <w:pPr>
      <w:pBdr>
        <w:top w:val="single" w:sz="4" w:space="1" w:color="auto"/>
        <w:left w:val="single" w:sz="4" w:space="4" w:color="auto"/>
        <w:bottom w:val="single" w:sz="4" w:space="1" w:color="auto"/>
        <w:right w:val="single" w:sz="4" w:space="4" w:color="auto"/>
      </w:pBdr>
    </w:pPr>
  </w:style>
  <w:style w:type="character" w:customStyle="1" w:styleId="BalloonTextChar">
    <w:name w:val="Balloon Text Char"/>
    <w:basedOn w:val="DefaultParagraphFont"/>
    <w:link w:val="BalloonText"/>
    <w:semiHidden/>
    <w:rsid w:val="002F070F"/>
    <w:rPr>
      <w:rFonts w:ascii="Tahoma" w:hAnsi="Tahoma" w:cs="Tahoma"/>
      <w:sz w:val="16"/>
      <w:szCs w:val="16"/>
      <w:lang w:eastAsia="en-US" w:bidi="en-US"/>
    </w:rPr>
  </w:style>
  <w:style w:type="paragraph" w:customStyle="1" w:styleId="Bullet">
    <w:name w:val="Bullet"/>
    <w:basedOn w:val="Normal"/>
    <w:next w:val="Normal"/>
    <w:rsid w:val="002F070F"/>
    <w:pPr>
      <w:ind w:left="567" w:hanging="567"/>
    </w:pPr>
    <w:rPr>
      <w:lang w:bidi="ar-SA"/>
    </w:rPr>
  </w:style>
  <w:style w:type="paragraph" w:customStyle="1" w:styleId="FSCbaseheading">
    <w:name w:val="FSC_base_heading"/>
    <w:rsid w:val="002F070F"/>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F070F"/>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F070F"/>
    <w:pPr>
      <w:spacing w:before="60" w:after="60"/>
      <w:ind w:left="0" w:firstLine="0"/>
    </w:pPr>
    <w:rPr>
      <w:sz w:val="18"/>
    </w:rPr>
  </w:style>
  <w:style w:type="paragraph" w:customStyle="1" w:styleId="FSCbaseTOC">
    <w:name w:val="FSC_base_TOC"/>
    <w:rsid w:val="002F070F"/>
    <w:pPr>
      <w:tabs>
        <w:tab w:val="right" w:pos="8278"/>
      </w:tabs>
      <w:ind w:left="2126" w:hanging="2126"/>
    </w:pPr>
    <w:rPr>
      <w:rFonts w:ascii="Arial" w:hAnsi="Arial" w:cs="Arial"/>
      <w:noProof/>
      <w:szCs w:val="22"/>
      <w:lang w:eastAsia="en-AU"/>
    </w:rPr>
  </w:style>
  <w:style w:type="paragraph" w:customStyle="1" w:styleId="FSCDraftStrip">
    <w:name w:val="FSC_Draft_Strip"/>
    <w:aliases w:val="tt_Draft_strip"/>
    <w:basedOn w:val="Normal"/>
    <w:rsid w:val="002F070F"/>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FSCfooter0">
    <w:name w:val="FSC_footer"/>
    <w:basedOn w:val="Normal"/>
    <w:rsid w:val="002F070F"/>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C134EB"/>
    <w:pPr>
      <w:spacing w:before="240" w:after="240"/>
      <w:ind w:left="851" w:hanging="851"/>
      <w:outlineLvl w:val="0"/>
    </w:pPr>
    <w:rPr>
      <w:bCs w:val="0"/>
      <w:sz w:val="36"/>
    </w:rPr>
  </w:style>
  <w:style w:type="paragraph" w:customStyle="1" w:styleId="FSCh2Part">
    <w:name w:val="FSC_h2_Part"/>
    <w:basedOn w:val="FSCbaseheading"/>
    <w:next w:val="FSCh3Standard"/>
    <w:qFormat/>
    <w:rsid w:val="001142C7"/>
    <w:pPr>
      <w:spacing w:before="240" w:after="240"/>
      <w:ind w:left="851" w:hanging="851"/>
      <w:outlineLvl w:val="1"/>
    </w:pPr>
    <w:rPr>
      <w:bCs w:val="0"/>
      <w:sz w:val="28"/>
      <w:szCs w:val="28"/>
    </w:rPr>
  </w:style>
  <w:style w:type="paragraph" w:customStyle="1" w:styleId="FSCh3Standard">
    <w:name w:val="FSC_h3_Standard"/>
    <w:basedOn w:val="FSCbaseheading"/>
    <w:next w:val="FSCh5Section"/>
    <w:qFormat/>
    <w:rsid w:val="002F070F"/>
    <w:pPr>
      <w:spacing w:before="0" w:after="240"/>
      <w:outlineLvl w:val="2"/>
    </w:pPr>
    <w:rPr>
      <w:sz w:val="32"/>
    </w:rPr>
  </w:style>
  <w:style w:type="paragraph" w:customStyle="1" w:styleId="FSCh5Section">
    <w:name w:val="FSC_h5_Section"/>
    <w:basedOn w:val="FSCbaseheading"/>
    <w:next w:val="FSCtMain"/>
    <w:qFormat/>
    <w:rsid w:val="002F070F"/>
    <w:pPr>
      <w:keepLines w:val="0"/>
      <w:widowControl w:val="0"/>
      <w:spacing w:before="240" w:after="120"/>
      <w:ind w:left="1701" w:hanging="1701"/>
      <w:outlineLvl w:val="4"/>
    </w:pPr>
    <w:rPr>
      <w:rFonts w:cs="Times New Roman"/>
      <w:sz w:val="22"/>
      <w:szCs w:val="24"/>
    </w:rPr>
  </w:style>
  <w:style w:type="paragraph" w:customStyle="1" w:styleId="FSCh3Amendmenthistory">
    <w:name w:val="FSC_h3_Amendment_history"/>
    <w:basedOn w:val="Normal"/>
    <w:rsid w:val="002F070F"/>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Contents">
    <w:name w:val="FSC_h3_Contents"/>
    <w:basedOn w:val="FSCh3Standard"/>
    <w:rsid w:val="002F070F"/>
    <w:pPr>
      <w:ind w:left="0" w:firstLine="0"/>
      <w:jc w:val="center"/>
    </w:pPr>
  </w:style>
  <w:style w:type="paragraph" w:customStyle="1" w:styleId="FSCh4Div">
    <w:name w:val="FSC_h4_Div"/>
    <w:basedOn w:val="FSCbaseheading"/>
    <w:next w:val="FSCh5Section"/>
    <w:qFormat/>
    <w:rsid w:val="002F070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F070F"/>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2F070F"/>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FSCbasepara"/>
    <w:rsid w:val="002F070F"/>
    <w:pPr>
      <w:ind w:firstLine="0"/>
    </w:pPr>
    <w:rPr>
      <w:i/>
    </w:rPr>
  </w:style>
  <w:style w:type="paragraph" w:customStyle="1" w:styleId="FSCnatHeading">
    <w:name w:val="FSC_n_at_Heading"/>
    <w:basedOn w:val="FSCtMain"/>
    <w:rsid w:val="002F070F"/>
    <w:pPr>
      <w:ind w:left="851" w:hanging="851"/>
    </w:pPr>
    <w:rPr>
      <w:sz w:val="16"/>
      <w:lang w:val="en-GB"/>
    </w:rPr>
  </w:style>
  <w:style w:type="paragraph" w:customStyle="1" w:styleId="FSCnMain">
    <w:name w:val="FSC_n_Main"/>
    <w:basedOn w:val="FSCtPara"/>
    <w:rsid w:val="002F070F"/>
    <w:rPr>
      <w:iCs w:val="0"/>
      <w:sz w:val="16"/>
      <w:szCs w:val="18"/>
      <w:lang w:val="en-GB"/>
    </w:rPr>
  </w:style>
  <w:style w:type="paragraph" w:customStyle="1" w:styleId="FSCtSubpara">
    <w:name w:val="FSC_t_Subpara"/>
    <w:basedOn w:val="FSCtMain"/>
    <w:rsid w:val="002F070F"/>
    <w:pPr>
      <w:tabs>
        <w:tab w:val="clear" w:pos="1134"/>
        <w:tab w:val="left" w:pos="2268"/>
      </w:tabs>
      <w:spacing w:before="60" w:after="60"/>
      <w:ind w:left="2835" w:hanging="2835"/>
    </w:pPr>
    <w:rPr>
      <w:lang w:val="en-GB"/>
    </w:rPr>
  </w:style>
  <w:style w:type="paragraph" w:customStyle="1" w:styleId="FSCnPara">
    <w:name w:val="FSC_n_Para"/>
    <w:basedOn w:val="FSCtSubpara"/>
    <w:rsid w:val="002F070F"/>
    <w:rPr>
      <w:sz w:val="16"/>
    </w:rPr>
  </w:style>
  <w:style w:type="paragraph" w:customStyle="1" w:styleId="FSCtSubsub">
    <w:name w:val="FSC_t_Subsub"/>
    <w:basedOn w:val="FSCtPara"/>
    <w:rsid w:val="002F070F"/>
    <w:pPr>
      <w:tabs>
        <w:tab w:val="clear" w:pos="1701"/>
        <w:tab w:val="left" w:pos="2835"/>
      </w:tabs>
      <w:ind w:left="3402" w:hanging="3402"/>
    </w:pPr>
    <w:rPr>
      <w:lang w:val="en-GB"/>
    </w:rPr>
  </w:style>
  <w:style w:type="paragraph" w:customStyle="1" w:styleId="FSCnSubpara">
    <w:name w:val="FSC_n_Subpara"/>
    <w:basedOn w:val="FSCtSubsub"/>
    <w:rsid w:val="002F070F"/>
    <w:rPr>
      <w:sz w:val="16"/>
    </w:rPr>
  </w:style>
  <w:style w:type="paragraph" w:customStyle="1" w:styleId="FSCnSubsub">
    <w:name w:val="FSC_n_Subsub"/>
    <w:basedOn w:val="FSCnSubpara"/>
    <w:rsid w:val="002F070F"/>
    <w:pPr>
      <w:tabs>
        <w:tab w:val="clear" w:pos="2835"/>
        <w:tab w:val="left" w:pos="3402"/>
      </w:tabs>
      <w:ind w:left="3969" w:hanging="3969"/>
    </w:pPr>
  </w:style>
  <w:style w:type="paragraph" w:customStyle="1" w:styleId="FSCoContents">
    <w:name w:val="FSC_o_Contents"/>
    <w:basedOn w:val="FSCh2Part"/>
    <w:rsid w:val="002F070F"/>
    <w:pPr>
      <w:ind w:left="0" w:firstLine="0"/>
      <w:jc w:val="center"/>
    </w:pPr>
  </w:style>
  <w:style w:type="paragraph" w:customStyle="1" w:styleId="FSCoDraftstrip">
    <w:name w:val="FSC_o_Draft_strip"/>
    <w:basedOn w:val="Normal"/>
    <w:rsid w:val="002F070F"/>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F070F"/>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2F070F"/>
    <w:pPr>
      <w:widowControl/>
      <w:spacing w:before="80"/>
    </w:pPr>
    <w:rPr>
      <w:color w:val="7030A0"/>
      <w:lang w:eastAsia="en-AU" w:bidi="ar-SA"/>
    </w:rPr>
  </w:style>
  <w:style w:type="paragraph" w:customStyle="1" w:styleId="FSCoFooter">
    <w:name w:val="FSC_o_Footer"/>
    <w:basedOn w:val="Normal"/>
    <w:rsid w:val="002F070F"/>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F070F"/>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F070F"/>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F070F"/>
    <w:rPr>
      <w:rFonts w:ascii="Arial" w:hAnsi="Arial"/>
      <w:b/>
      <w:noProof/>
      <w:szCs w:val="24"/>
      <w:lang w:eastAsia="en-AU"/>
    </w:rPr>
  </w:style>
  <w:style w:type="paragraph" w:customStyle="1" w:styleId="FSCoParaMark">
    <w:name w:val="FSC_o_Para_Mark"/>
    <w:basedOn w:val="Normal"/>
    <w:next w:val="Normal"/>
    <w:rsid w:val="002F070F"/>
    <w:pPr>
      <w:widowControl/>
    </w:pPr>
    <w:rPr>
      <w:sz w:val="16"/>
      <w:lang w:eastAsia="en-AU" w:bidi="ar-SA"/>
    </w:rPr>
  </w:style>
  <w:style w:type="paragraph" w:customStyle="1" w:styleId="FSCsbFirstSection">
    <w:name w:val="FSC_sb_First_Section"/>
    <w:basedOn w:val="Normal"/>
    <w:rsid w:val="002F070F"/>
    <w:pPr>
      <w:widowControl/>
      <w:spacing w:line="160" w:lineRule="exact"/>
    </w:pPr>
    <w:rPr>
      <w:sz w:val="16"/>
      <w:lang w:val="en-AU" w:eastAsia="en-AU" w:bidi="ar-SA"/>
    </w:rPr>
  </w:style>
  <w:style w:type="paragraph" w:customStyle="1" w:styleId="FSCoStandardEnd">
    <w:name w:val="FSC_o_Standard_End"/>
    <w:basedOn w:val="FSCtMain"/>
    <w:rsid w:val="002F070F"/>
    <w:pPr>
      <w:spacing w:before="240" w:after="0"/>
      <w:jc w:val="center"/>
    </w:pPr>
    <w:rPr>
      <w:iCs w:val="0"/>
      <w:lang w:val="en-GB"/>
    </w:rPr>
  </w:style>
  <w:style w:type="paragraph" w:customStyle="1" w:styleId="FSCoTitleofInstrument">
    <w:name w:val="FSC_o_Title_of_Instrument"/>
    <w:basedOn w:val="Normal"/>
    <w:rsid w:val="002F070F"/>
    <w:pPr>
      <w:widowControl/>
      <w:spacing w:before="200"/>
    </w:pPr>
    <w:rPr>
      <w:b/>
      <w:sz w:val="32"/>
      <w:lang w:eastAsia="en-AU" w:bidi="ar-SA"/>
    </w:rPr>
  </w:style>
  <w:style w:type="paragraph" w:customStyle="1" w:styleId="FSCoutChap">
    <w:name w:val="FSC_out_Chap"/>
    <w:basedOn w:val="FSCh4Div"/>
    <w:rsid w:val="002F070F"/>
    <w:pPr>
      <w:tabs>
        <w:tab w:val="left" w:pos="1701"/>
      </w:tabs>
      <w:spacing w:after="120"/>
      <w:ind w:left="3402" w:hanging="3402"/>
    </w:pPr>
  </w:style>
  <w:style w:type="paragraph" w:customStyle="1" w:styleId="FSCoutPart">
    <w:name w:val="FSC_out_Part"/>
    <w:basedOn w:val="FSCh5Section"/>
    <w:rsid w:val="002F070F"/>
    <w:pPr>
      <w:keepNext w:val="0"/>
      <w:tabs>
        <w:tab w:val="left" w:pos="1701"/>
      </w:tabs>
      <w:ind w:left="3402" w:hanging="3402"/>
    </w:pPr>
  </w:style>
  <w:style w:type="paragraph" w:customStyle="1" w:styleId="FSCoutStand">
    <w:name w:val="FSC_out_Stand"/>
    <w:basedOn w:val="FSCtMain"/>
    <w:rsid w:val="002F070F"/>
    <w:pPr>
      <w:tabs>
        <w:tab w:val="clear" w:pos="1134"/>
        <w:tab w:val="left" w:pos="1701"/>
      </w:tabs>
      <w:ind w:left="3402" w:hanging="3402"/>
    </w:pPr>
    <w:rPr>
      <w:lang w:val="en-GB"/>
    </w:rPr>
  </w:style>
  <w:style w:type="paragraph" w:customStyle="1" w:styleId="FSCpreActref">
    <w:name w:val="FSC_pre_Act_ref"/>
    <w:aliases w:val="tt_Authorising_Act"/>
    <w:basedOn w:val="Normal"/>
    <w:rsid w:val="002F070F"/>
    <w:pPr>
      <w:widowControl/>
      <w:spacing w:before="480"/>
    </w:pPr>
    <w:rPr>
      <w:rFonts w:cs="Arial"/>
      <w:i/>
      <w:sz w:val="28"/>
      <w:szCs w:val="28"/>
      <w:lang w:val="en-AU" w:eastAsia="en-AU" w:bidi="ar-SA"/>
    </w:rPr>
  </w:style>
  <w:style w:type="paragraph" w:customStyle="1" w:styleId="FSCpreContents">
    <w:name w:val="FSC_pre_Contents"/>
    <w:aliases w:val="tt_Contents"/>
    <w:basedOn w:val="FSCh2Part"/>
    <w:rsid w:val="002F070F"/>
    <w:pPr>
      <w:ind w:left="0" w:firstLine="0"/>
      <w:jc w:val="center"/>
    </w:pPr>
  </w:style>
  <w:style w:type="paragraph" w:customStyle="1" w:styleId="FSCpreDate">
    <w:name w:val="FSC_pre_Date"/>
    <w:aliases w:val="tt_Date_of_Standard"/>
    <w:basedOn w:val="Normal"/>
    <w:rsid w:val="002F070F"/>
    <w:pPr>
      <w:widowControl/>
    </w:pPr>
    <w:rPr>
      <w:rFonts w:cs="Arial"/>
      <w:i/>
      <w:sz w:val="20"/>
      <w:szCs w:val="28"/>
      <w:lang w:val="en-US" w:eastAsia="en-AU" w:bidi="ar-SA"/>
    </w:rPr>
  </w:style>
  <w:style w:type="paragraph" w:customStyle="1" w:styleId="FSCpreTitle">
    <w:name w:val="FSC_pre_Title"/>
    <w:aliases w:val="tt_Title_of_Instrument"/>
    <w:basedOn w:val="Normal"/>
    <w:rsid w:val="002F070F"/>
    <w:pPr>
      <w:widowControl/>
      <w:spacing w:before="1200"/>
    </w:pPr>
    <w:rPr>
      <w:b/>
      <w:sz w:val="32"/>
      <w:lang w:val="en-AU" w:eastAsia="en-AU" w:bidi="ar-SA"/>
    </w:rPr>
  </w:style>
  <w:style w:type="paragraph" w:customStyle="1" w:styleId="FSCsbContents">
    <w:name w:val="FSC_sb_Contents"/>
    <w:basedOn w:val="FSCsbFirstSection"/>
    <w:rsid w:val="002F070F"/>
  </w:style>
  <w:style w:type="paragraph" w:customStyle="1" w:styleId="FSCsbMainSection">
    <w:name w:val="FSC_sb_Main_Section"/>
    <w:basedOn w:val="FSCsbFirstSection"/>
    <w:rsid w:val="002F070F"/>
    <w:rPr>
      <w:b/>
      <w:bCs/>
      <w:kern w:val="32"/>
    </w:rPr>
  </w:style>
  <w:style w:type="paragraph" w:customStyle="1" w:styleId="FSCsbSchedules">
    <w:name w:val="FSC_sb_Schedules"/>
    <w:basedOn w:val="FSCsbFirstSection"/>
    <w:rsid w:val="002F070F"/>
  </w:style>
  <w:style w:type="paragraph" w:customStyle="1" w:styleId="FSCtDefn">
    <w:name w:val="FSC_t_Defn"/>
    <w:basedOn w:val="FSCtMain"/>
    <w:rsid w:val="002F070F"/>
    <w:pPr>
      <w:ind w:firstLine="0"/>
    </w:pPr>
    <w:rPr>
      <w:lang w:val="en-GB"/>
    </w:rPr>
  </w:style>
  <w:style w:type="paragraph" w:customStyle="1" w:styleId="FSCtblAh2">
    <w:name w:val="FSC_tbl_A_h2"/>
    <w:aliases w:val="tbA_h2"/>
    <w:basedOn w:val="Normal"/>
    <w:next w:val="Normal"/>
    <w:rsid w:val="002F070F"/>
    <w:pPr>
      <w:keepNext/>
      <w:keepLines/>
      <w:widowControl/>
      <w:spacing w:before="200"/>
      <w:jc w:val="center"/>
    </w:pPr>
    <w:rPr>
      <w:rFonts w:cs="Arial"/>
      <w:b/>
      <w:sz w:val="18"/>
      <w:szCs w:val="22"/>
      <w:lang w:val="en-AU" w:eastAsia="en-AU" w:bidi="ar-SA"/>
    </w:rPr>
  </w:style>
  <w:style w:type="paragraph" w:customStyle="1" w:styleId="FSCtblAh3">
    <w:name w:val="FSC_tbl_A_h3"/>
    <w:aliases w:val="tbA_h3"/>
    <w:basedOn w:val="Normal"/>
    <w:next w:val="Normal"/>
    <w:rsid w:val="002F070F"/>
    <w:pPr>
      <w:keepNext/>
      <w:keepLines/>
      <w:widowControl/>
      <w:spacing w:before="60" w:after="60"/>
    </w:pPr>
    <w:rPr>
      <w:rFonts w:cs="Arial"/>
      <w:b/>
      <w:i/>
      <w:sz w:val="18"/>
      <w:szCs w:val="22"/>
      <w:lang w:val="en-AU" w:eastAsia="en-AU" w:bidi="ar-SA"/>
    </w:rPr>
  </w:style>
  <w:style w:type="paragraph" w:customStyle="1" w:styleId="FSCtblAh3MRA">
    <w:name w:val="FSC_tbl_A_h3_MRA"/>
    <w:aliases w:val="tba_h3_MRA"/>
    <w:basedOn w:val="FSCtblAh3"/>
    <w:rsid w:val="002F070F"/>
    <w:pPr>
      <w:pBdr>
        <w:top w:val="single" w:sz="4" w:space="1" w:color="auto"/>
      </w:pBdr>
      <w:spacing w:before="140"/>
    </w:pPr>
    <w:rPr>
      <w:bCs/>
      <w:i w:val="0"/>
    </w:rPr>
  </w:style>
  <w:style w:type="paragraph" w:customStyle="1" w:styleId="FSCtblAh4">
    <w:name w:val="FSC_tbl_A_h4"/>
    <w:aliases w:val="tbA_h4"/>
    <w:basedOn w:val="Normal"/>
    <w:next w:val="Normal"/>
    <w:rsid w:val="002F070F"/>
    <w:pPr>
      <w:keepNext/>
      <w:keepLines/>
      <w:widowControl/>
      <w:spacing w:before="60" w:after="60"/>
    </w:pPr>
    <w:rPr>
      <w:rFonts w:cs="Arial"/>
      <w:i/>
      <w:sz w:val="18"/>
      <w:szCs w:val="22"/>
      <w:lang w:val="en-AU" w:eastAsia="en-AU" w:bidi="ar-SA"/>
    </w:rPr>
  </w:style>
  <w:style w:type="paragraph" w:customStyle="1" w:styleId="FSCtblAh4MRA">
    <w:name w:val="FSC_tbl_A_h4_MRA"/>
    <w:aliases w:val="tbA_h4_MRA"/>
    <w:basedOn w:val="FSCtblAh4"/>
    <w:rsid w:val="002F070F"/>
    <w:pPr>
      <w:widowControl w:val="0"/>
      <w:pBdr>
        <w:bottom w:val="single" w:sz="4" w:space="1" w:color="auto"/>
      </w:pBdr>
      <w:jc w:val="center"/>
    </w:pPr>
    <w:rPr>
      <w:iCs/>
    </w:rPr>
  </w:style>
  <w:style w:type="paragraph" w:customStyle="1" w:styleId="FSCtblAMainMRA">
    <w:name w:val="FSC_tbl_A_Main_MRA"/>
    <w:aliases w:val="tbA_t1_item_MRA"/>
    <w:basedOn w:val="FSCtblAMain"/>
    <w:rsid w:val="002F070F"/>
    <w:pPr>
      <w:tabs>
        <w:tab w:val="right" w:pos="3969"/>
      </w:tabs>
      <w:spacing w:before="0" w:after="0"/>
    </w:pPr>
    <w:rPr>
      <w:szCs w:val="20"/>
      <w:lang w:val="en-GB"/>
    </w:rPr>
  </w:style>
  <w:style w:type="paragraph" w:customStyle="1" w:styleId="FSCtblBMain">
    <w:name w:val="FSC_tbl_B_Main"/>
    <w:aliases w:val="tbB_t1_Item"/>
    <w:basedOn w:val="FSCtblAMain"/>
    <w:rsid w:val="002F070F"/>
    <w:pPr>
      <w:ind w:left="1701"/>
    </w:pPr>
    <w:rPr>
      <w:lang w:val="en-GB"/>
    </w:rPr>
  </w:style>
  <w:style w:type="character" w:customStyle="1" w:styleId="SubclauseChar">
    <w:name w:val="Subclause Char"/>
    <w:basedOn w:val="ClauseChar"/>
    <w:link w:val="Subclause"/>
    <w:locked/>
    <w:rsid w:val="002F070F"/>
    <w:rPr>
      <w:rFonts w:ascii="Arial" w:hAnsi="Arial"/>
      <w:lang w:eastAsia="en-US" w:bidi="en-US"/>
    </w:rPr>
  </w:style>
  <w:style w:type="paragraph" w:customStyle="1" w:styleId="FSCtblAddh1">
    <w:name w:val="FSC_tbl_Add_h1"/>
    <w:basedOn w:val="FSCh4Div"/>
    <w:rsid w:val="002F070F"/>
    <w:pPr>
      <w:spacing w:before="120" w:after="120"/>
    </w:pPr>
    <w:rPr>
      <w:rFonts w:eastAsiaTheme="minorHAnsi"/>
      <w:sz w:val="20"/>
      <w:lang w:eastAsia="en-US"/>
    </w:rPr>
  </w:style>
  <w:style w:type="paragraph" w:customStyle="1" w:styleId="FSCtblAddh2">
    <w:name w:val="FSC_tbl_Add_h2"/>
    <w:basedOn w:val="FSCtblAddh1"/>
    <w:rsid w:val="002F070F"/>
    <w:pPr>
      <w:spacing w:before="60" w:after="60"/>
    </w:pPr>
    <w:rPr>
      <w:i/>
    </w:rPr>
  </w:style>
  <w:style w:type="paragraph" w:customStyle="1" w:styleId="FSCtblAddh3">
    <w:name w:val="FSC_tbl_Add_h3"/>
    <w:basedOn w:val="Normal"/>
    <w:rsid w:val="002F070F"/>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F070F"/>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F070F"/>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2F070F"/>
    <w:pPr>
      <w:keepLines/>
      <w:widowControl/>
      <w:spacing w:before="20" w:after="20"/>
    </w:pPr>
    <w:rPr>
      <w:rFonts w:eastAsiaTheme="minorHAnsi" w:cs="Arial"/>
      <w:sz w:val="18"/>
      <w:szCs w:val="22"/>
      <w:lang w:bidi="ar-SA"/>
    </w:rPr>
  </w:style>
  <w:style w:type="paragraph" w:customStyle="1" w:styleId="FSCtblAdd2">
    <w:name w:val="FSC_tbl_Add2"/>
    <w:basedOn w:val="Normal"/>
    <w:rsid w:val="002F070F"/>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F070F"/>
    <w:pPr>
      <w:keepNext/>
      <w:widowControl/>
      <w:spacing w:after="60"/>
    </w:pPr>
    <w:rPr>
      <w:rFonts w:eastAsia="Calibri"/>
      <w:b/>
      <w:sz w:val="16"/>
      <w:szCs w:val="20"/>
      <w:lang w:eastAsia="en-AU" w:bidi="ar-SA"/>
    </w:rPr>
  </w:style>
  <w:style w:type="paragraph" w:customStyle="1" w:styleId="FSCtblAmendmain">
    <w:name w:val="FSC_tbl_Amend_main"/>
    <w:basedOn w:val="Normal"/>
    <w:rsid w:val="002F070F"/>
    <w:pPr>
      <w:widowControl/>
      <w:ind w:left="113" w:hanging="113"/>
    </w:pPr>
    <w:rPr>
      <w:bCs/>
      <w:sz w:val="16"/>
      <w:szCs w:val="20"/>
      <w:lang w:bidi="ar-SA"/>
    </w:rPr>
  </w:style>
  <w:style w:type="paragraph" w:customStyle="1" w:styleId="FSCtblh2">
    <w:name w:val="FSC_tbl_h2"/>
    <w:basedOn w:val="Normal"/>
    <w:rsid w:val="002F070F"/>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F070F"/>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F070F"/>
    <w:pPr>
      <w:keepNext/>
      <w:keepLines/>
      <w:widowControl/>
      <w:spacing w:before="60" w:after="60"/>
    </w:pPr>
    <w:rPr>
      <w:rFonts w:cs="Arial"/>
      <w:i/>
      <w:sz w:val="18"/>
      <w:szCs w:val="22"/>
      <w:lang w:eastAsia="en-AU" w:bidi="ar-SA"/>
    </w:rPr>
  </w:style>
  <w:style w:type="paragraph" w:customStyle="1" w:styleId="FSCtblMain">
    <w:name w:val="FSC_tbl_Main"/>
    <w:basedOn w:val="Normal"/>
    <w:rsid w:val="002F070F"/>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2F070F"/>
    <w:pPr>
      <w:jc w:val="center"/>
    </w:pPr>
    <w:rPr>
      <w:rFonts w:eastAsiaTheme="minorHAnsi"/>
      <w:lang w:eastAsia="en-US"/>
    </w:rPr>
  </w:style>
  <w:style w:type="paragraph" w:customStyle="1" w:styleId="FSCtblMainRH">
    <w:name w:val="FSC_tbl_Main_RH"/>
    <w:basedOn w:val="FSCtblMain"/>
    <w:rsid w:val="002F070F"/>
    <w:pPr>
      <w:jc w:val="right"/>
    </w:pPr>
    <w:rPr>
      <w:rFonts w:eastAsiaTheme="minorHAnsi"/>
      <w:lang w:eastAsia="en-US"/>
    </w:rPr>
  </w:style>
  <w:style w:type="paragraph" w:customStyle="1" w:styleId="FSCtblMRL1">
    <w:name w:val="FSC_tbl_MRL1"/>
    <w:basedOn w:val="Normal"/>
    <w:rsid w:val="002F070F"/>
    <w:pPr>
      <w:keepLines/>
      <w:widowControl/>
      <w:spacing w:before="20" w:after="20"/>
    </w:pPr>
    <w:rPr>
      <w:rFonts w:cs="Arial"/>
      <w:sz w:val="18"/>
      <w:szCs w:val="20"/>
      <w:lang w:eastAsia="en-AU" w:bidi="ar-SA"/>
    </w:rPr>
  </w:style>
  <w:style w:type="paragraph" w:customStyle="1" w:styleId="FSCtblMRL2">
    <w:name w:val="FSC_tbl_MRL2"/>
    <w:basedOn w:val="FSCtblMRL1"/>
    <w:rsid w:val="002F070F"/>
    <w:pPr>
      <w:jc w:val="right"/>
    </w:pPr>
    <w:rPr>
      <w:rFonts w:eastAsiaTheme="minorHAnsi"/>
      <w:lang w:eastAsia="en-US"/>
    </w:rPr>
  </w:style>
  <w:style w:type="paragraph" w:customStyle="1" w:styleId="FSCtblPara">
    <w:name w:val="FSC_tbl_Para"/>
    <w:basedOn w:val="Normal"/>
    <w:rsid w:val="002F070F"/>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F070F"/>
    <w:pPr>
      <w:keepLines/>
      <w:widowControl/>
      <w:spacing w:before="60" w:after="60"/>
      <w:ind w:left="794" w:hanging="397"/>
    </w:pPr>
    <w:rPr>
      <w:rFonts w:cs="Arial"/>
      <w:sz w:val="18"/>
      <w:szCs w:val="22"/>
      <w:lang w:eastAsia="en-AU" w:bidi="ar-SA"/>
    </w:rPr>
  </w:style>
  <w:style w:type="paragraph" w:styleId="EndnoteText">
    <w:name w:val="endnote text"/>
    <w:basedOn w:val="Normal"/>
    <w:link w:val="EndnoteTextChar"/>
    <w:rsid w:val="00D53384"/>
    <w:rPr>
      <w:sz w:val="20"/>
      <w:szCs w:val="20"/>
    </w:rPr>
  </w:style>
  <w:style w:type="character" w:customStyle="1" w:styleId="EndnoteTextChar">
    <w:name w:val="Endnote Text Char"/>
    <w:basedOn w:val="DefaultParagraphFont"/>
    <w:link w:val="EndnoteText"/>
    <w:rsid w:val="00D53384"/>
    <w:rPr>
      <w:rFonts w:ascii="Arial" w:hAnsi="Arial"/>
      <w:lang w:eastAsia="en-US" w:bidi="en-US"/>
    </w:rPr>
  </w:style>
  <w:style w:type="character" w:styleId="EndnoteReference">
    <w:name w:val="endnote reference"/>
    <w:basedOn w:val="DefaultParagraphFont"/>
    <w:rsid w:val="00D53384"/>
    <w:rPr>
      <w:vertAlign w:val="superscript"/>
    </w:rPr>
  </w:style>
  <w:style w:type="paragraph" w:styleId="Bibliography">
    <w:name w:val="Bibliography"/>
    <w:basedOn w:val="Normal"/>
    <w:next w:val="Normal"/>
    <w:uiPriority w:val="37"/>
    <w:semiHidden/>
    <w:unhideWhenUsed/>
    <w:rsid w:val="00143DBA"/>
  </w:style>
  <w:style w:type="paragraph" w:styleId="BlockText">
    <w:name w:val="Block Text"/>
    <w:basedOn w:val="Normal"/>
    <w:rsid w:val="00143DB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143DBA"/>
    <w:pPr>
      <w:spacing w:after="120"/>
    </w:pPr>
  </w:style>
  <w:style w:type="character" w:customStyle="1" w:styleId="BodyTextChar">
    <w:name w:val="Body Text Char"/>
    <w:basedOn w:val="DefaultParagraphFont"/>
    <w:link w:val="BodyText"/>
    <w:rsid w:val="00143DBA"/>
    <w:rPr>
      <w:rFonts w:ascii="Arial" w:hAnsi="Arial"/>
      <w:sz w:val="22"/>
      <w:szCs w:val="24"/>
      <w:lang w:eastAsia="en-US" w:bidi="en-US"/>
    </w:rPr>
  </w:style>
  <w:style w:type="paragraph" w:styleId="BodyText2">
    <w:name w:val="Body Text 2"/>
    <w:basedOn w:val="Normal"/>
    <w:link w:val="BodyText2Char"/>
    <w:rsid w:val="00143DBA"/>
    <w:pPr>
      <w:spacing w:after="120" w:line="480" w:lineRule="auto"/>
    </w:pPr>
  </w:style>
  <w:style w:type="character" w:customStyle="1" w:styleId="BodyText2Char">
    <w:name w:val="Body Text 2 Char"/>
    <w:basedOn w:val="DefaultParagraphFont"/>
    <w:link w:val="BodyText2"/>
    <w:rsid w:val="00143DBA"/>
    <w:rPr>
      <w:rFonts w:ascii="Arial" w:hAnsi="Arial"/>
      <w:sz w:val="22"/>
      <w:szCs w:val="24"/>
      <w:lang w:eastAsia="en-US" w:bidi="en-US"/>
    </w:rPr>
  </w:style>
  <w:style w:type="paragraph" w:styleId="BodyText3">
    <w:name w:val="Body Text 3"/>
    <w:basedOn w:val="Normal"/>
    <w:link w:val="BodyText3Char"/>
    <w:rsid w:val="00143DBA"/>
    <w:pPr>
      <w:spacing w:after="120"/>
    </w:pPr>
    <w:rPr>
      <w:sz w:val="16"/>
      <w:szCs w:val="16"/>
    </w:rPr>
  </w:style>
  <w:style w:type="character" w:customStyle="1" w:styleId="BodyText3Char">
    <w:name w:val="Body Text 3 Char"/>
    <w:basedOn w:val="DefaultParagraphFont"/>
    <w:link w:val="BodyText3"/>
    <w:rsid w:val="00143DBA"/>
    <w:rPr>
      <w:rFonts w:ascii="Arial" w:hAnsi="Arial"/>
      <w:sz w:val="16"/>
      <w:szCs w:val="16"/>
      <w:lang w:eastAsia="en-US" w:bidi="en-US"/>
    </w:rPr>
  </w:style>
  <w:style w:type="paragraph" w:styleId="BodyTextFirstIndent">
    <w:name w:val="Body Text First Indent"/>
    <w:basedOn w:val="BodyText"/>
    <w:link w:val="BodyTextFirstIndentChar"/>
    <w:rsid w:val="00143DBA"/>
    <w:pPr>
      <w:spacing w:after="0"/>
      <w:ind w:firstLine="360"/>
    </w:pPr>
  </w:style>
  <w:style w:type="character" w:customStyle="1" w:styleId="BodyTextFirstIndentChar">
    <w:name w:val="Body Text First Indent Char"/>
    <w:basedOn w:val="BodyTextChar"/>
    <w:link w:val="BodyTextFirstIndent"/>
    <w:rsid w:val="00143DBA"/>
    <w:rPr>
      <w:rFonts w:ascii="Arial" w:hAnsi="Arial"/>
      <w:sz w:val="22"/>
      <w:szCs w:val="24"/>
      <w:lang w:eastAsia="en-US" w:bidi="en-US"/>
    </w:rPr>
  </w:style>
  <w:style w:type="paragraph" w:styleId="BodyTextIndent">
    <w:name w:val="Body Text Indent"/>
    <w:basedOn w:val="Normal"/>
    <w:link w:val="BodyTextIndentChar"/>
    <w:rsid w:val="00143DBA"/>
    <w:pPr>
      <w:spacing w:after="120"/>
      <w:ind w:left="283"/>
    </w:pPr>
  </w:style>
  <w:style w:type="character" w:customStyle="1" w:styleId="BodyTextIndentChar">
    <w:name w:val="Body Text Indent Char"/>
    <w:basedOn w:val="DefaultParagraphFont"/>
    <w:link w:val="BodyTextIndent"/>
    <w:rsid w:val="00143DBA"/>
    <w:rPr>
      <w:rFonts w:ascii="Arial" w:hAnsi="Arial"/>
      <w:sz w:val="22"/>
      <w:szCs w:val="24"/>
      <w:lang w:eastAsia="en-US" w:bidi="en-US"/>
    </w:rPr>
  </w:style>
  <w:style w:type="paragraph" w:styleId="BodyTextFirstIndent2">
    <w:name w:val="Body Text First Indent 2"/>
    <w:basedOn w:val="BodyTextIndent"/>
    <w:link w:val="BodyTextFirstIndent2Char"/>
    <w:rsid w:val="00143DBA"/>
    <w:pPr>
      <w:spacing w:after="0"/>
      <w:ind w:left="360" w:firstLine="360"/>
    </w:pPr>
  </w:style>
  <w:style w:type="character" w:customStyle="1" w:styleId="BodyTextFirstIndent2Char">
    <w:name w:val="Body Text First Indent 2 Char"/>
    <w:basedOn w:val="BodyTextIndentChar"/>
    <w:link w:val="BodyTextFirstIndent2"/>
    <w:rsid w:val="00143DBA"/>
    <w:rPr>
      <w:rFonts w:ascii="Arial" w:hAnsi="Arial"/>
      <w:sz w:val="22"/>
      <w:szCs w:val="24"/>
      <w:lang w:eastAsia="en-US" w:bidi="en-US"/>
    </w:rPr>
  </w:style>
  <w:style w:type="paragraph" w:styleId="BodyTextIndent2">
    <w:name w:val="Body Text Indent 2"/>
    <w:basedOn w:val="Normal"/>
    <w:link w:val="BodyTextIndent2Char"/>
    <w:rsid w:val="00143DBA"/>
    <w:pPr>
      <w:spacing w:after="120" w:line="480" w:lineRule="auto"/>
      <w:ind w:left="283"/>
    </w:pPr>
  </w:style>
  <w:style w:type="character" w:customStyle="1" w:styleId="BodyTextIndent2Char">
    <w:name w:val="Body Text Indent 2 Char"/>
    <w:basedOn w:val="DefaultParagraphFont"/>
    <w:link w:val="BodyTextIndent2"/>
    <w:rsid w:val="00143DBA"/>
    <w:rPr>
      <w:rFonts w:ascii="Arial" w:hAnsi="Arial"/>
      <w:sz w:val="22"/>
      <w:szCs w:val="24"/>
      <w:lang w:eastAsia="en-US" w:bidi="en-US"/>
    </w:rPr>
  </w:style>
  <w:style w:type="paragraph" w:styleId="BodyTextIndent3">
    <w:name w:val="Body Text Indent 3"/>
    <w:basedOn w:val="Normal"/>
    <w:link w:val="BodyTextIndent3Char"/>
    <w:rsid w:val="00143DBA"/>
    <w:pPr>
      <w:spacing w:after="120"/>
      <w:ind w:left="283"/>
    </w:pPr>
    <w:rPr>
      <w:sz w:val="16"/>
      <w:szCs w:val="16"/>
    </w:rPr>
  </w:style>
  <w:style w:type="character" w:customStyle="1" w:styleId="BodyTextIndent3Char">
    <w:name w:val="Body Text Indent 3 Char"/>
    <w:basedOn w:val="DefaultParagraphFont"/>
    <w:link w:val="BodyTextIndent3"/>
    <w:rsid w:val="00143DBA"/>
    <w:rPr>
      <w:rFonts w:ascii="Arial" w:hAnsi="Arial"/>
      <w:sz w:val="16"/>
      <w:szCs w:val="16"/>
      <w:lang w:eastAsia="en-US" w:bidi="en-US"/>
    </w:rPr>
  </w:style>
  <w:style w:type="paragraph" w:styleId="Caption">
    <w:name w:val="caption"/>
    <w:basedOn w:val="Normal"/>
    <w:next w:val="Normal"/>
    <w:semiHidden/>
    <w:unhideWhenUsed/>
    <w:rsid w:val="00143DBA"/>
    <w:pPr>
      <w:spacing w:after="200"/>
    </w:pPr>
    <w:rPr>
      <w:b/>
      <w:bCs/>
      <w:color w:val="4F81BD" w:themeColor="accent1"/>
      <w:sz w:val="18"/>
      <w:szCs w:val="18"/>
    </w:rPr>
  </w:style>
  <w:style w:type="paragraph" w:styleId="Closing">
    <w:name w:val="Closing"/>
    <w:basedOn w:val="Normal"/>
    <w:link w:val="ClosingChar"/>
    <w:rsid w:val="00143DBA"/>
    <w:pPr>
      <w:ind w:left="4252"/>
    </w:pPr>
  </w:style>
  <w:style w:type="character" w:customStyle="1" w:styleId="ClosingChar">
    <w:name w:val="Closing Char"/>
    <w:basedOn w:val="DefaultParagraphFont"/>
    <w:link w:val="Closing"/>
    <w:rsid w:val="00143DBA"/>
    <w:rPr>
      <w:rFonts w:ascii="Arial" w:hAnsi="Arial"/>
      <w:sz w:val="22"/>
      <w:szCs w:val="24"/>
      <w:lang w:eastAsia="en-US" w:bidi="en-US"/>
    </w:rPr>
  </w:style>
  <w:style w:type="paragraph" w:styleId="Date">
    <w:name w:val="Date"/>
    <w:basedOn w:val="Normal"/>
    <w:next w:val="Normal"/>
    <w:link w:val="DateChar"/>
    <w:rsid w:val="00143DBA"/>
  </w:style>
  <w:style w:type="character" w:customStyle="1" w:styleId="DateChar">
    <w:name w:val="Date Char"/>
    <w:basedOn w:val="DefaultParagraphFont"/>
    <w:link w:val="Date"/>
    <w:rsid w:val="00143DBA"/>
    <w:rPr>
      <w:rFonts w:ascii="Arial" w:hAnsi="Arial"/>
      <w:sz w:val="22"/>
      <w:szCs w:val="24"/>
      <w:lang w:eastAsia="en-US" w:bidi="en-US"/>
    </w:rPr>
  </w:style>
  <w:style w:type="paragraph" w:styleId="DocumentMap">
    <w:name w:val="Document Map"/>
    <w:basedOn w:val="Normal"/>
    <w:link w:val="DocumentMapChar"/>
    <w:rsid w:val="00143DBA"/>
    <w:rPr>
      <w:rFonts w:ascii="Tahoma" w:hAnsi="Tahoma" w:cs="Tahoma"/>
      <w:sz w:val="16"/>
      <w:szCs w:val="16"/>
    </w:rPr>
  </w:style>
  <w:style w:type="character" w:customStyle="1" w:styleId="DocumentMapChar">
    <w:name w:val="Document Map Char"/>
    <w:basedOn w:val="DefaultParagraphFont"/>
    <w:link w:val="DocumentMap"/>
    <w:rsid w:val="00143DBA"/>
    <w:rPr>
      <w:rFonts w:ascii="Tahoma" w:hAnsi="Tahoma" w:cs="Tahoma"/>
      <w:sz w:val="16"/>
      <w:szCs w:val="16"/>
      <w:lang w:eastAsia="en-US" w:bidi="en-US"/>
    </w:rPr>
  </w:style>
  <w:style w:type="paragraph" w:styleId="E-mailSignature">
    <w:name w:val="E-mail Signature"/>
    <w:basedOn w:val="Normal"/>
    <w:link w:val="E-mailSignatureChar"/>
    <w:rsid w:val="00143DBA"/>
  </w:style>
  <w:style w:type="character" w:customStyle="1" w:styleId="E-mailSignatureChar">
    <w:name w:val="E-mail Signature Char"/>
    <w:basedOn w:val="DefaultParagraphFont"/>
    <w:link w:val="E-mailSignature"/>
    <w:rsid w:val="00143DBA"/>
    <w:rPr>
      <w:rFonts w:ascii="Arial" w:hAnsi="Arial"/>
      <w:sz w:val="22"/>
      <w:szCs w:val="24"/>
      <w:lang w:eastAsia="en-US" w:bidi="en-US"/>
    </w:rPr>
  </w:style>
  <w:style w:type="paragraph" w:styleId="EnvelopeAddress">
    <w:name w:val="envelope address"/>
    <w:basedOn w:val="Normal"/>
    <w:rsid w:val="00143DB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143DBA"/>
    <w:rPr>
      <w:rFonts w:asciiTheme="majorHAnsi" w:eastAsiaTheme="majorEastAsia" w:hAnsiTheme="majorHAnsi" w:cstheme="majorBidi"/>
      <w:sz w:val="20"/>
      <w:szCs w:val="20"/>
    </w:rPr>
  </w:style>
  <w:style w:type="paragraph" w:styleId="HTMLAddress">
    <w:name w:val="HTML Address"/>
    <w:basedOn w:val="Normal"/>
    <w:link w:val="HTMLAddressChar"/>
    <w:rsid w:val="00143DBA"/>
    <w:rPr>
      <w:i/>
      <w:iCs/>
    </w:rPr>
  </w:style>
  <w:style w:type="character" w:customStyle="1" w:styleId="HTMLAddressChar">
    <w:name w:val="HTML Address Char"/>
    <w:basedOn w:val="DefaultParagraphFont"/>
    <w:link w:val="HTMLAddress"/>
    <w:rsid w:val="00143DBA"/>
    <w:rPr>
      <w:rFonts w:ascii="Arial" w:hAnsi="Arial"/>
      <w:i/>
      <w:iCs/>
      <w:sz w:val="22"/>
      <w:szCs w:val="24"/>
      <w:lang w:eastAsia="en-US" w:bidi="en-US"/>
    </w:rPr>
  </w:style>
  <w:style w:type="paragraph" w:styleId="HTMLPreformatted">
    <w:name w:val="HTML Preformatted"/>
    <w:basedOn w:val="Normal"/>
    <w:link w:val="HTMLPreformattedChar"/>
    <w:rsid w:val="00143DBA"/>
    <w:rPr>
      <w:rFonts w:ascii="Consolas" w:hAnsi="Consolas" w:cs="Consolas"/>
      <w:sz w:val="20"/>
      <w:szCs w:val="20"/>
    </w:rPr>
  </w:style>
  <w:style w:type="character" w:customStyle="1" w:styleId="HTMLPreformattedChar">
    <w:name w:val="HTML Preformatted Char"/>
    <w:basedOn w:val="DefaultParagraphFont"/>
    <w:link w:val="HTMLPreformatted"/>
    <w:rsid w:val="00143DBA"/>
    <w:rPr>
      <w:rFonts w:ascii="Consolas" w:hAnsi="Consolas" w:cs="Consolas"/>
      <w:lang w:eastAsia="en-US" w:bidi="en-US"/>
    </w:rPr>
  </w:style>
  <w:style w:type="paragraph" w:styleId="Index1">
    <w:name w:val="index 1"/>
    <w:basedOn w:val="Normal"/>
    <w:next w:val="Normal"/>
    <w:autoRedefine/>
    <w:rsid w:val="00143DBA"/>
    <w:pPr>
      <w:ind w:left="220" w:hanging="220"/>
    </w:pPr>
  </w:style>
  <w:style w:type="paragraph" w:styleId="Index2">
    <w:name w:val="index 2"/>
    <w:basedOn w:val="Normal"/>
    <w:next w:val="Normal"/>
    <w:autoRedefine/>
    <w:rsid w:val="00143DBA"/>
    <w:pPr>
      <w:ind w:left="440" w:hanging="220"/>
    </w:pPr>
  </w:style>
  <w:style w:type="paragraph" w:styleId="Index3">
    <w:name w:val="index 3"/>
    <w:basedOn w:val="Normal"/>
    <w:next w:val="Normal"/>
    <w:autoRedefine/>
    <w:rsid w:val="00143DBA"/>
    <w:pPr>
      <w:ind w:left="660" w:hanging="220"/>
    </w:pPr>
  </w:style>
  <w:style w:type="paragraph" w:styleId="Index4">
    <w:name w:val="index 4"/>
    <w:basedOn w:val="Normal"/>
    <w:next w:val="Normal"/>
    <w:autoRedefine/>
    <w:rsid w:val="00143DBA"/>
    <w:pPr>
      <w:ind w:left="880" w:hanging="220"/>
    </w:pPr>
  </w:style>
  <w:style w:type="paragraph" w:styleId="Index5">
    <w:name w:val="index 5"/>
    <w:basedOn w:val="Normal"/>
    <w:next w:val="Normal"/>
    <w:autoRedefine/>
    <w:rsid w:val="00143DBA"/>
    <w:pPr>
      <w:ind w:left="1100" w:hanging="220"/>
    </w:pPr>
  </w:style>
  <w:style w:type="paragraph" w:styleId="Index6">
    <w:name w:val="index 6"/>
    <w:basedOn w:val="Normal"/>
    <w:next w:val="Normal"/>
    <w:autoRedefine/>
    <w:rsid w:val="00143DBA"/>
    <w:pPr>
      <w:ind w:left="1320" w:hanging="220"/>
    </w:pPr>
  </w:style>
  <w:style w:type="paragraph" w:styleId="Index7">
    <w:name w:val="index 7"/>
    <w:basedOn w:val="Normal"/>
    <w:next w:val="Normal"/>
    <w:autoRedefine/>
    <w:rsid w:val="00143DBA"/>
    <w:pPr>
      <w:ind w:left="1540" w:hanging="220"/>
    </w:pPr>
  </w:style>
  <w:style w:type="paragraph" w:styleId="Index8">
    <w:name w:val="index 8"/>
    <w:basedOn w:val="Normal"/>
    <w:next w:val="Normal"/>
    <w:autoRedefine/>
    <w:rsid w:val="00143DBA"/>
    <w:pPr>
      <w:ind w:left="1760" w:hanging="220"/>
    </w:pPr>
  </w:style>
  <w:style w:type="paragraph" w:styleId="Index9">
    <w:name w:val="index 9"/>
    <w:basedOn w:val="Normal"/>
    <w:next w:val="Normal"/>
    <w:autoRedefine/>
    <w:rsid w:val="00143DBA"/>
    <w:pPr>
      <w:ind w:left="1980" w:hanging="220"/>
    </w:pPr>
  </w:style>
  <w:style w:type="paragraph" w:styleId="IndexHeading">
    <w:name w:val="index heading"/>
    <w:basedOn w:val="Normal"/>
    <w:next w:val="Index1"/>
    <w:rsid w:val="00143DB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43D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3DBA"/>
    <w:rPr>
      <w:rFonts w:ascii="Arial" w:hAnsi="Arial"/>
      <w:b/>
      <w:bCs/>
      <w:i/>
      <w:iCs/>
      <w:color w:val="4F81BD" w:themeColor="accent1"/>
      <w:sz w:val="22"/>
      <w:szCs w:val="24"/>
      <w:lang w:eastAsia="en-US" w:bidi="en-US"/>
    </w:rPr>
  </w:style>
  <w:style w:type="paragraph" w:styleId="List">
    <w:name w:val="List"/>
    <w:basedOn w:val="Normal"/>
    <w:rsid w:val="00143DBA"/>
    <w:pPr>
      <w:ind w:left="283" w:hanging="283"/>
      <w:contextualSpacing/>
    </w:pPr>
  </w:style>
  <w:style w:type="paragraph" w:styleId="List2">
    <w:name w:val="List 2"/>
    <w:basedOn w:val="Normal"/>
    <w:rsid w:val="00143DBA"/>
    <w:pPr>
      <w:ind w:left="566" w:hanging="283"/>
      <w:contextualSpacing/>
    </w:pPr>
  </w:style>
  <w:style w:type="paragraph" w:styleId="List3">
    <w:name w:val="List 3"/>
    <w:basedOn w:val="Normal"/>
    <w:rsid w:val="00143DBA"/>
    <w:pPr>
      <w:ind w:left="849" w:hanging="283"/>
      <w:contextualSpacing/>
    </w:pPr>
  </w:style>
  <w:style w:type="paragraph" w:styleId="List4">
    <w:name w:val="List 4"/>
    <w:basedOn w:val="Normal"/>
    <w:rsid w:val="00143DBA"/>
    <w:pPr>
      <w:ind w:left="1132" w:hanging="283"/>
      <w:contextualSpacing/>
    </w:pPr>
  </w:style>
  <w:style w:type="paragraph" w:styleId="List5">
    <w:name w:val="List 5"/>
    <w:basedOn w:val="Normal"/>
    <w:rsid w:val="00143DBA"/>
    <w:pPr>
      <w:ind w:left="1415" w:hanging="283"/>
      <w:contextualSpacing/>
    </w:pPr>
  </w:style>
  <w:style w:type="paragraph" w:styleId="ListBullet">
    <w:name w:val="List Bullet"/>
    <w:basedOn w:val="Normal"/>
    <w:rsid w:val="00143DBA"/>
    <w:pPr>
      <w:numPr>
        <w:numId w:val="18"/>
      </w:numPr>
      <w:contextualSpacing/>
    </w:pPr>
  </w:style>
  <w:style w:type="paragraph" w:styleId="ListBullet2">
    <w:name w:val="List Bullet 2"/>
    <w:basedOn w:val="Normal"/>
    <w:rsid w:val="00143DBA"/>
    <w:pPr>
      <w:numPr>
        <w:numId w:val="19"/>
      </w:numPr>
      <w:contextualSpacing/>
    </w:pPr>
  </w:style>
  <w:style w:type="paragraph" w:styleId="ListBullet3">
    <w:name w:val="List Bullet 3"/>
    <w:basedOn w:val="Normal"/>
    <w:rsid w:val="00143DBA"/>
    <w:pPr>
      <w:numPr>
        <w:numId w:val="20"/>
      </w:numPr>
      <w:contextualSpacing/>
    </w:pPr>
  </w:style>
  <w:style w:type="paragraph" w:styleId="ListBullet4">
    <w:name w:val="List Bullet 4"/>
    <w:basedOn w:val="Normal"/>
    <w:rsid w:val="00143DBA"/>
    <w:pPr>
      <w:numPr>
        <w:numId w:val="21"/>
      </w:numPr>
      <w:contextualSpacing/>
    </w:pPr>
  </w:style>
  <w:style w:type="paragraph" w:styleId="ListBullet5">
    <w:name w:val="List Bullet 5"/>
    <w:basedOn w:val="Normal"/>
    <w:rsid w:val="00143DBA"/>
    <w:pPr>
      <w:numPr>
        <w:numId w:val="22"/>
      </w:numPr>
      <w:contextualSpacing/>
    </w:pPr>
  </w:style>
  <w:style w:type="paragraph" w:styleId="ListContinue">
    <w:name w:val="List Continue"/>
    <w:basedOn w:val="Normal"/>
    <w:rsid w:val="00143DBA"/>
    <w:pPr>
      <w:spacing w:after="120"/>
      <w:ind w:left="283"/>
      <w:contextualSpacing/>
    </w:pPr>
  </w:style>
  <w:style w:type="paragraph" w:styleId="ListContinue2">
    <w:name w:val="List Continue 2"/>
    <w:basedOn w:val="Normal"/>
    <w:rsid w:val="00143DBA"/>
    <w:pPr>
      <w:spacing w:after="120"/>
      <w:ind w:left="566"/>
      <w:contextualSpacing/>
    </w:pPr>
  </w:style>
  <w:style w:type="paragraph" w:styleId="ListContinue3">
    <w:name w:val="List Continue 3"/>
    <w:basedOn w:val="Normal"/>
    <w:rsid w:val="00143DBA"/>
    <w:pPr>
      <w:spacing w:after="120"/>
      <w:ind w:left="849"/>
      <w:contextualSpacing/>
    </w:pPr>
  </w:style>
  <w:style w:type="paragraph" w:styleId="ListContinue4">
    <w:name w:val="List Continue 4"/>
    <w:basedOn w:val="Normal"/>
    <w:rsid w:val="00143DBA"/>
    <w:pPr>
      <w:spacing w:after="120"/>
      <w:ind w:left="1132"/>
      <w:contextualSpacing/>
    </w:pPr>
  </w:style>
  <w:style w:type="paragraph" w:styleId="ListContinue5">
    <w:name w:val="List Continue 5"/>
    <w:basedOn w:val="Normal"/>
    <w:rsid w:val="00143DBA"/>
    <w:pPr>
      <w:spacing w:after="120"/>
      <w:ind w:left="1415"/>
      <w:contextualSpacing/>
    </w:pPr>
  </w:style>
  <w:style w:type="paragraph" w:styleId="ListNumber">
    <w:name w:val="List Number"/>
    <w:basedOn w:val="Normal"/>
    <w:rsid w:val="00143DBA"/>
    <w:pPr>
      <w:numPr>
        <w:numId w:val="23"/>
      </w:numPr>
      <w:contextualSpacing/>
    </w:pPr>
  </w:style>
  <w:style w:type="paragraph" w:styleId="ListNumber2">
    <w:name w:val="List Number 2"/>
    <w:basedOn w:val="Normal"/>
    <w:rsid w:val="00143DBA"/>
    <w:pPr>
      <w:numPr>
        <w:numId w:val="24"/>
      </w:numPr>
      <w:contextualSpacing/>
    </w:pPr>
  </w:style>
  <w:style w:type="paragraph" w:styleId="ListNumber3">
    <w:name w:val="List Number 3"/>
    <w:basedOn w:val="Normal"/>
    <w:rsid w:val="00143DBA"/>
    <w:pPr>
      <w:numPr>
        <w:numId w:val="25"/>
      </w:numPr>
      <w:contextualSpacing/>
    </w:pPr>
  </w:style>
  <w:style w:type="paragraph" w:styleId="ListNumber4">
    <w:name w:val="List Number 4"/>
    <w:basedOn w:val="Normal"/>
    <w:rsid w:val="00143DBA"/>
    <w:pPr>
      <w:numPr>
        <w:numId w:val="26"/>
      </w:numPr>
      <w:contextualSpacing/>
    </w:pPr>
  </w:style>
  <w:style w:type="paragraph" w:styleId="ListNumber5">
    <w:name w:val="List Number 5"/>
    <w:basedOn w:val="Normal"/>
    <w:rsid w:val="00143DBA"/>
    <w:pPr>
      <w:numPr>
        <w:numId w:val="27"/>
      </w:numPr>
      <w:contextualSpacing/>
    </w:pPr>
  </w:style>
  <w:style w:type="paragraph" w:styleId="MacroText">
    <w:name w:val="macro"/>
    <w:link w:val="MacroTextChar"/>
    <w:rsid w:val="00143DBA"/>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143DBA"/>
    <w:rPr>
      <w:rFonts w:ascii="Consolas" w:hAnsi="Consolas" w:cs="Consolas"/>
      <w:lang w:eastAsia="en-US" w:bidi="en-US"/>
    </w:rPr>
  </w:style>
  <w:style w:type="paragraph" w:styleId="MessageHeader">
    <w:name w:val="Message Header"/>
    <w:basedOn w:val="Normal"/>
    <w:link w:val="MessageHeaderChar"/>
    <w:rsid w:val="00143D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143DBA"/>
    <w:rPr>
      <w:rFonts w:asciiTheme="majorHAnsi" w:eastAsiaTheme="majorEastAsia" w:hAnsiTheme="majorHAnsi" w:cstheme="majorBidi"/>
      <w:sz w:val="24"/>
      <w:szCs w:val="24"/>
      <w:shd w:val="pct20" w:color="auto" w:fill="auto"/>
      <w:lang w:eastAsia="en-US" w:bidi="en-US"/>
    </w:rPr>
  </w:style>
  <w:style w:type="paragraph" w:styleId="NormalWeb">
    <w:name w:val="Normal (Web)"/>
    <w:basedOn w:val="Normal"/>
    <w:rsid w:val="00143DBA"/>
    <w:rPr>
      <w:rFonts w:ascii="Times New Roman" w:hAnsi="Times New Roman"/>
      <w:sz w:val="24"/>
    </w:rPr>
  </w:style>
  <w:style w:type="paragraph" w:styleId="NormalIndent">
    <w:name w:val="Normal Indent"/>
    <w:basedOn w:val="Normal"/>
    <w:rsid w:val="00143DBA"/>
    <w:pPr>
      <w:ind w:left="567"/>
    </w:pPr>
  </w:style>
  <w:style w:type="paragraph" w:styleId="NoteHeading">
    <w:name w:val="Note Heading"/>
    <w:basedOn w:val="Normal"/>
    <w:next w:val="Normal"/>
    <w:link w:val="NoteHeadingChar"/>
    <w:rsid w:val="00143DBA"/>
  </w:style>
  <w:style w:type="character" w:customStyle="1" w:styleId="NoteHeadingChar">
    <w:name w:val="Note Heading Char"/>
    <w:basedOn w:val="DefaultParagraphFont"/>
    <w:link w:val="NoteHeading"/>
    <w:rsid w:val="00143DBA"/>
    <w:rPr>
      <w:rFonts w:ascii="Arial" w:hAnsi="Arial"/>
      <w:sz w:val="22"/>
      <w:szCs w:val="24"/>
      <w:lang w:eastAsia="en-US" w:bidi="en-US"/>
    </w:rPr>
  </w:style>
  <w:style w:type="paragraph" w:styleId="PlainText">
    <w:name w:val="Plain Text"/>
    <w:basedOn w:val="Normal"/>
    <w:link w:val="PlainTextChar"/>
    <w:rsid w:val="00143DBA"/>
    <w:rPr>
      <w:rFonts w:ascii="Consolas" w:hAnsi="Consolas" w:cs="Consolas"/>
      <w:sz w:val="21"/>
      <w:szCs w:val="21"/>
    </w:rPr>
  </w:style>
  <w:style w:type="character" w:customStyle="1" w:styleId="PlainTextChar">
    <w:name w:val="Plain Text Char"/>
    <w:basedOn w:val="DefaultParagraphFont"/>
    <w:link w:val="PlainText"/>
    <w:rsid w:val="00143DBA"/>
    <w:rPr>
      <w:rFonts w:ascii="Consolas" w:hAnsi="Consolas" w:cs="Consolas"/>
      <w:sz w:val="21"/>
      <w:szCs w:val="21"/>
      <w:lang w:eastAsia="en-US" w:bidi="en-US"/>
    </w:rPr>
  </w:style>
  <w:style w:type="paragraph" w:styleId="Quote">
    <w:name w:val="Quote"/>
    <w:basedOn w:val="Normal"/>
    <w:next w:val="Normal"/>
    <w:link w:val="QuoteChar"/>
    <w:uiPriority w:val="29"/>
    <w:rsid w:val="00143DBA"/>
    <w:rPr>
      <w:i/>
      <w:iCs/>
      <w:color w:val="000000" w:themeColor="text1"/>
    </w:rPr>
  </w:style>
  <w:style w:type="character" w:customStyle="1" w:styleId="QuoteChar">
    <w:name w:val="Quote Char"/>
    <w:basedOn w:val="DefaultParagraphFont"/>
    <w:link w:val="Quote"/>
    <w:uiPriority w:val="29"/>
    <w:rsid w:val="00143DBA"/>
    <w:rPr>
      <w:rFonts w:ascii="Arial" w:hAnsi="Arial"/>
      <w:i/>
      <w:iCs/>
      <w:color w:val="000000" w:themeColor="text1"/>
      <w:sz w:val="22"/>
      <w:szCs w:val="24"/>
      <w:lang w:eastAsia="en-US" w:bidi="en-US"/>
    </w:rPr>
  </w:style>
  <w:style w:type="paragraph" w:styleId="Salutation">
    <w:name w:val="Salutation"/>
    <w:basedOn w:val="Normal"/>
    <w:next w:val="Normal"/>
    <w:link w:val="SalutationChar"/>
    <w:rsid w:val="00143DBA"/>
  </w:style>
  <w:style w:type="character" w:customStyle="1" w:styleId="SalutationChar">
    <w:name w:val="Salutation Char"/>
    <w:basedOn w:val="DefaultParagraphFont"/>
    <w:link w:val="Salutation"/>
    <w:rsid w:val="00143DBA"/>
    <w:rPr>
      <w:rFonts w:ascii="Arial" w:hAnsi="Arial"/>
      <w:sz w:val="22"/>
      <w:szCs w:val="24"/>
      <w:lang w:eastAsia="en-US" w:bidi="en-US"/>
    </w:rPr>
  </w:style>
  <w:style w:type="paragraph" w:styleId="Signature">
    <w:name w:val="Signature"/>
    <w:basedOn w:val="Normal"/>
    <w:link w:val="SignatureChar"/>
    <w:rsid w:val="00143DBA"/>
    <w:pPr>
      <w:ind w:left="4252"/>
    </w:pPr>
  </w:style>
  <w:style w:type="character" w:customStyle="1" w:styleId="SignatureChar">
    <w:name w:val="Signature Char"/>
    <w:basedOn w:val="DefaultParagraphFont"/>
    <w:link w:val="Signature"/>
    <w:rsid w:val="00143DBA"/>
    <w:rPr>
      <w:rFonts w:ascii="Arial" w:hAnsi="Arial"/>
      <w:sz w:val="22"/>
      <w:szCs w:val="24"/>
      <w:lang w:eastAsia="en-US" w:bidi="en-US"/>
    </w:rPr>
  </w:style>
  <w:style w:type="paragraph" w:styleId="TableofAuthorities">
    <w:name w:val="table of authorities"/>
    <w:basedOn w:val="Normal"/>
    <w:next w:val="Normal"/>
    <w:rsid w:val="00143DBA"/>
    <w:pPr>
      <w:ind w:left="220" w:hanging="220"/>
    </w:pPr>
  </w:style>
  <w:style w:type="paragraph" w:styleId="TableofFigures">
    <w:name w:val="table of figures"/>
    <w:basedOn w:val="Normal"/>
    <w:next w:val="Normal"/>
    <w:rsid w:val="00143DBA"/>
  </w:style>
  <w:style w:type="paragraph" w:styleId="Title">
    <w:name w:val="Title"/>
    <w:basedOn w:val="Normal"/>
    <w:next w:val="Normal"/>
    <w:link w:val="TitleChar"/>
    <w:uiPriority w:val="10"/>
    <w:rsid w:val="00143D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BA"/>
    <w:rPr>
      <w:rFonts w:asciiTheme="majorHAnsi" w:eastAsiaTheme="majorEastAsia" w:hAnsiTheme="majorHAnsi" w:cstheme="majorBidi"/>
      <w:color w:val="17365D" w:themeColor="text2" w:themeShade="BF"/>
      <w:spacing w:val="5"/>
      <w:kern w:val="28"/>
      <w:sz w:val="52"/>
      <w:szCs w:val="52"/>
      <w:lang w:eastAsia="en-US" w:bidi="en-US"/>
    </w:rPr>
  </w:style>
  <w:style w:type="paragraph" w:styleId="TOAHeading">
    <w:name w:val="toa heading"/>
    <w:basedOn w:val="Normal"/>
    <w:next w:val="Normal"/>
    <w:rsid w:val="00143DBA"/>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80569969">
      <w:bodyDiv w:val="1"/>
      <w:marLeft w:val="0"/>
      <w:marRight w:val="0"/>
      <w:marTop w:val="0"/>
      <w:marBottom w:val="0"/>
      <w:divBdr>
        <w:top w:val="none" w:sz="0" w:space="0" w:color="auto"/>
        <w:left w:val="none" w:sz="0" w:space="0" w:color="auto"/>
        <w:bottom w:val="none" w:sz="0" w:space="0" w:color="auto"/>
        <w:right w:val="none" w:sz="0" w:space="0" w:color="auto"/>
      </w:divBdr>
    </w:div>
    <w:div w:id="2739500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95300698">
      <w:bodyDiv w:val="1"/>
      <w:marLeft w:val="0"/>
      <w:marRight w:val="0"/>
      <w:marTop w:val="0"/>
      <w:marBottom w:val="0"/>
      <w:divBdr>
        <w:top w:val="none" w:sz="0" w:space="0" w:color="auto"/>
        <w:left w:val="none" w:sz="0" w:space="0" w:color="auto"/>
        <w:bottom w:val="none" w:sz="0" w:space="0" w:color="auto"/>
        <w:right w:val="none" w:sz="0" w:space="0" w:color="auto"/>
      </w:divBdr>
    </w:div>
    <w:div w:id="1543638742">
      <w:bodyDiv w:val="1"/>
      <w:marLeft w:val="0"/>
      <w:marRight w:val="0"/>
      <w:marTop w:val="0"/>
      <w:marBottom w:val="0"/>
      <w:divBdr>
        <w:top w:val="none" w:sz="0" w:space="0" w:color="auto"/>
        <w:left w:val="none" w:sz="0" w:space="0" w:color="auto"/>
        <w:bottom w:val="none" w:sz="0" w:space="0" w:color="auto"/>
        <w:right w:val="none" w:sz="0" w:space="0" w:color="auto"/>
      </w:divBdr>
    </w:div>
    <w:div w:id="1578250995">
      <w:bodyDiv w:val="1"/>
      <w:marLeft w:val="0"/>
      <w:marRight w:val="0"/>
      <w:marTop w:val="0"/>
      <w:marBottom w:val="0"/>
      <w:divBdr>
        <w:top w:val="none" w:sz="0" w:space="0" w:color="auto"/>
        <w:left w:val="none" w:sz="0" w:space="0" w:color="auto"/>
        <w:bottom w:val="none" w:sz="0" w:space="0" w:color="auto"/>
        <w:right w:val="none" w:sz="0" w:space="0" w:color="auto"/>
      </w:divBdr>
      <w:divsChild>
        <w:div w:id="1267040000">
          <w:marLeft w:val="0"/>
          <w:marRight w:val="0"/>
          <w:marTop w:val="0"/>
          <w:marBottom w:val="0"/>
          <w:divBdr>
            <w:top w:val="none" w:sz="0" w:space="0" w:color="auto"/>
            <w:left w:val="none" w:sz="0" w:space="0" w:color="auto"/>
            <w:bottom w:val="none" w:sz="0" w:space="0" w:color="auto"/>
            <w:right w:val="none" w:sz="0" w:space="0" w:color="auto"/>
          </w:divBdr>
          <w:divsChild>
            <w:div w:id="1244293496">
              <w:marLeft w:val="0"/>
              <w:marRight w:val="0"/>
              <w:marTop w:val="0"/>
              <w:marBottom w:val="0"/>
              <w:divBdr>
                <w:top w:val="none" w:sz="0" w:space="0" w:color="auto"/>
                <w:left w:val="none" w:sz="0" w:space="0" w:color="auto"/>
                <w:bottom w:val="none" w:sz="0" w:space="0" w:color="auto"/>
                <w:right w:val="none" w:sz="0" w:space="0" w:color="auto"/>
              </w:divBdr>
              <w:divsChild>
                <w:div w:id="1046954020">
                  <w:marLeft w:val="0"/>
                  <w:marRight w:val="0"/>
                  <w:marTop w:val="0"/>
                  <w:marBottom w:val="0"/>
                  <w:divBdr>
                    <w:top w:val="none" w:sz="0" w:space="0" w:color="auto"/>
                    <w:left w:val="none" w:sz="0" w:space="0" w:color="auto"/>
                    <w:bottom w:val="none" w:sz="0" w:space="0" w:color="auto"/>
                    <w:right w:val="none" w:sz="0" w:space="0" w:color="auto"/>
                  </w:divBdr>
                  <w:divsChild>
                    <w:div w:id="68625792">
                      <w:marLeft w:val="0"/>
                      <w:marRight w:val="0"/>
                      <w:marTop w:val="0"/>
                      <w:marBottom w:val="0"/>
                      <w:divBdr>
                        <w:top w:val="none" w:sz="0" w:space="0" w:color="auto"/>
                        <w:left w:val="none" w:sz="0" w:space="0" w:color="auto"/>
                        <w:bottom w:val="none" w:sz="0" w:space="0" w:color="auto"/>
                        <w:right w:val="none" w:sz="0" w:space="0" w:color="auto"/>
                      </w:divBdr>
                      <w:divsChild>
                        <w:div w:id="1247109674">
                          <w:marLeft w:val="0"/>
                          <w:marRight w:val="0"/>
                          <w:marTop w:val="0"/>
                          <w:marBottom w:val="0"/>
                          <w:divBdr>
                            <w:top w:val="none" w:sz="0" w:space="0" w:color="auto"/>
                            <w:left w:val="none" w:sz="0" w:space="0" w:color="auto"/>
                            <w:bottom w:val="none" w:sz="0" w:space="0" w:color="auto"/>
                            <w:right w:val="none" w:sz="0" w:space="0" w:color="auto"/>
                          </w:divBdr>
                          <w:divsChild>
                            <w:div w:id="398137861">
                              <w:marLeft w:val="0"/>
                              <w:marRight w:val="0"/>
                              <w:marTop w:val="0"/>
                              <w:marBottom w:val="0"/>
                              <w:divBdr>
                                <w:top w:val="none" w:sz="0" w:space="0" w:color="auto"/>
                                <w:left w:val="none" w:sz="0" w:space="0" w:color="auto"/>
                                <w:bottom w:val="none" w:sz="0" w:space="0" w:color="auto"/>
                                <w:right w:val="none" w:sz="0" w:space="0" w:color="auto"/>
                              </w:divBdr>
                              <w:divsChild>
                                <w:div w:id="1470827481">
                                  <w:marLeft w:val="0"/>
                                  <w:marRight w:val="0"/>
                                  <w:marTop w:val="0"/>
                                  <w:marBottom w:val="0"/>
                                  <w:divBdr>
                                    <w:top w:val="none" w:sz="0" w:space="0" w:color="auto"/>
                                    <w:left w:val="none" w:sz="0" w:space="0" w:color="auto"/>
                                    <w:bottom w:val="none" w:sz="0" w:space="0" w:color="auto"/>
                                    <w:right w:val="none" w:sz="0" w:space="0" w:color="auto"/>
                                  </w:divBdr>
                                  <w:divsChild>
                                    <w:div w:id="385688924">
                                      <w:marLeft w:val="0"/>
                                      <w:marRight w:val="0"/>
                                      <w:marTop w:val="0"/>
                                      <w:marBottom w:val="0"/>
                                      <w:divBdr>
                                        <w:top w:val="none" w:sz="0" w:space="0" w:color="auto"/>
                                        <w:left w:val="none" w:sz="0" w:space="0" w:color="auto"/>
                                        <w:bottom w:val="none" w:sz="0" w:space="0" w:color="auto"/>
                                        <w:right w:val="none" w:sz="0" w:space="0" w:color="auto"/>
                                      </w:divBdr>
                                      <w:divsChild>
                                        <w:div w:id="1387340389">
                                          <w:marLeft w:val="0"/>
                                          <w:marRight w:val="0"/>
                                          <w:marTop w:val="0"/>
                                          <w:marBottom w:val="0"/>
                                          <w:divBdr>
                                            <w:top w:val="none" w:sz="0" w:space="0" w:color="auto"/>
                                            <w:left w:val="none" w:sz="0" w:space="0" w:color="auto"/>
                                            <w:bottom w:val="none" w:sz="0" w:space="0" w:color="auto"/>
                                            <w:right w:val="none" w:sz="0" w:space="0" w:color="auto"/>
                                          </w:divBdr>
                                          <w:divsChild>
                                            <w:div w:id="41098971">
                                              <w:marLeft w:val="0"/>
                                              <w:marRight w:val="0"/>
                                              <w:marTop w:val="0"/>
                                              <w:marBottom w:val="0"/>
                                              <w:divBdr>
                                                <w:top w:val="none" w:sz="0" w:space="0" w:color="auto"/>
                                                <w:left w:val="none" w:sz="0" w:space="0" w:color="auto"/>
                                                <w:bottom w:val="none" w:sz="0" w:space="0" w:color="auto"/>
                                                <w:right w:val="none" w:sz="0" w:space="0" w:color="auto"/>
                                              </w:divBdr>
                                              <w:divsChild>
                                                <w:div w:id="1672561018">
                                                  <w:marLeft w:val="0"/>
                                                  <w:marRight w:val="0"/>
                                                  <w:marTop w:val="0"/>
                                                  <w:marBottom w:val="0"/>
                                                  <w:divBdr>
                                                    <w:top w:val="none" w:sz="0" w:space="0" w:color="auto"/>
                                                    <w:left w:val="none" w:sz="0" w:space="0" w:color="auto"/>
                                                    <w:bottom w:val="none" w:sz="0" w:space="0" w:color="auto"/>
                                                    <w:right w:val="none" w:sz="0" w:space="0" w:color="auto"/>
                                                  </w:divBdr>
                                                  <w:divsChild>
                                                    <w:div w:id="1870875726">
                                                      <w:marLeft w:val="0"/>
                                                      <w:marRight w:val="0"/>
                                                      <w:marTop w:val="0"/>
                                                      <w:marBottom w:val="0"/>
                                                      <w:divBdr>
                                                        <w:top w:val="none" w:sz="0" w:space="0" w:color="auto"/>
                                                        <w:left w:val="none" w:sz="0" w:space="0" w:color="auto"/>
                                                        <w:bottom w:val="none" w:sz="0" w:space="0" w:color="auto"/>
                                                        <w:right w:val="none" w:sz="0" w:space="0" w:color="auto"/>
                                                      </w:divBdr>
                                                      <w:divsChild>
                                                        <w:div w:id="699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26766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31284801">
      <w:bodyDiv w:val="1"/>
      <w:marLeft w:val="0"/>
      <w:marRight w:val="0"/>
      <w:marTop w:val="0"/>
      <w:marBottom w:val="0"/>
      <w:divBdr>
        <w:top w:val="none" w:sz="0" w:space="0" w:color="auto"/>
        <w:left w:val="none" w:sz="0" w:space="0" w:color="auto"/>
        <w:bottom w:val="none" w:sz="0" w:space="0" w:color="auto"/>
        <w:right w:val="none" w:sz="0" w:space="0" w:color="auto"/>
      </w:divBdr>
    </w:div>
    <w:div w:id="18615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code/proposals/pages/proposalp293nutritionhealthandrelatedclaims/p293finalassessmentr3889.aspx" TargetMode="External"/><Relationship Id="rId1" Type="http://schemas.openxmlformats.org/officeDocument/2006/relationships/hyperlink" Target="http://www.healthstarrating.gov.au/internet/healthstarrating/publishing.nsf/Content/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FAF30-FE20-49AE-ABC3-A66DE558D323}"/>
</file>

<file path=customXml/itemProps2.xml><?xml version="1.0" encoding="utf-8"?>
<ds:datastoreItem xmlns:ds="http://schemas.openxmlformats.org/officeDocument/2006/customXml" ds:itemID="{BA6BE55F-870D-4025-819F-9F021B428E91}"/>
</file>

<file path=customXml/itemProps3.xml><?xml version="1.0" encoding="utf-8"?>
<ds:datastoreItem xmlns:ds="http://schemas.openxmlformats.org/officeDocument/2006/customXml" ds:itemID="{D02F4052-7E4B-43EB-ABC7-AD8D6E08113D}"/>
</file>

<file path=customXml/itemProps4.xml><?xml version="1.0" encoding="utf-8"?>
<ds:datastoreItem xmlns:ds="http://schemas.openxmlformats.org/officeDocument/2006/customXml" ds:itemID="{0A6D0AE9-5620-40E3-B594-F9C9C7ED32AD}"/>
</file>

<file path=docProps/app.xml><?xml version="1.0" encoding="utf-8"?>
<Properties xmlns="http://schemas.openxmlformats.org/officeDocument/2006/extended-properties" xmlns:vt="http://schemas.openxmlformats.org/officeDocument/2006/docPropsVTypes">
  <Template>Normal</Template>
  <TotalTime>0</TotalTime>
  <Pages>63</Pages>
  <Words>22594</Words>
  <Characters>121247</Characters>
  <Application>Microsoft Office Word</Application>
  <DocSecurity>0</DocSecurity>
  <Lines>1010</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P1037-AppR</dc:title>
  <dc:creator/>
  <cp:lastModifiedBy/>
  <cp:revision>1</cp:revision>
  <dcterms:created xsi:type="dcterms:W3CDTF">2015-09-29T03:38:00Z</dcterms:created>
  <dcterms:modified xsi:type="dcterms:W3CDTF">2015-09-30T03:57:00Z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Order">
    <vt:r8>192000</vt:r8>
  </property>
  <property fmtid="{D5CDD505-2E9C-101B-9397-08002B2CF9AE}" pid="4" name="xd_ProgID">
    <vt:lpwstr/>
  </property>
  <property fmtid="{D5CDD505-2E9C-101B-9397-08002B2CF9AE}" pid="5" name="_CopySource">
    <vt:lpwstr>http://admin-www.foodstandards.gov.au/code/applications/Documents/P1037-AppR.docx</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