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09477" w14:textId="4C2903A5" w:rsidR="0012388D" w:rsidRDefault="00772BDC" w:rsidP="00CA5734">
      <w:pPr>
        <w:rPr>
          <w:rFonts w:cs="Arial"/>
        </w:rPr>
      </w:pPr>
      <w:bookmarkStart w:id="0" w:name="_GoBack"/>
      <w:bookmarkEnd w:id="0"/>
      <w:r>
        <w:rPr>
          <w:rFonts w:cs="Arial"/>
          <w:noProof/>
          <w:lang w:eastAsia="en-GB" w:bidi="ar-SA"/>
        </w:rPr>
        <w:drawing>
          <wp:inline distT="0" distB="0" distL="0" distR="0" wp14:anchorId="32509568" wp14:editId="5C7DBBF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2509478" w14:textId="77777777" w:rsidR="00A671E6" w:rsidRPr="00A671E6" w:rsidRDefault="00A671E6" w:rsidP="00A671E6">
      <w:pPr>
        <w:rPr>
          <w:color w:val="FF0000"/>
        </w:rPr>
      </w:pPr>
    </w:p>
    <w:p w14:paraId="034735DA" w14:textId="77777777" w:rsidR="00C301B3" w:rsidRDefault="00C301B3" w:rsidP="00C301B3">
      <w:pPr>
        <w:tabs>
          <w:tab w:val="left" w:pos="851"/>
        </w:tabs>
        <w:rPr>
          <w:b/>
          <w:sz w:val="28"/>
          <w:szCs w:val="28"/>
        </w:rPr>
      </w:pPr>
      <w:r>
        <w:rPr>
          <w:b/>
          <w:sz w:val="28"/>
          <w:szCs w:val="28"/>
        </w:rPr>
        <w:t>17 March 2016</w:t>
      </w:r>
    </w:p>
    <w:p w14:paraId="5DE992C8" w14:textId="77777777" w:rsidR="00C301B3" w:rsidRDefault="00C301B3" w:rsidP="00C301B3">
      <w:pPr>
        <w:rPr>
          <w:b/>
          <w:sz w:val="28"/>
          <w:szCs w:val="28"/>
        </w:rPr>
      </w:pPr>
      <w:r>
        <w:rPr>
          <w:b/>
          <w:sz w:val="28"/>
          <w:szCs w:val="28"/>
        </w:rPr>
        <w:t>[07–16]</w:t>
      </w:r>
    </w:p>
    <w:p w14:paraId="3250947B" w14:textId="77777777" w:rsidR="00A671E6" w:rsidRPr="00A671E6" w:rsidRDefault="00A671E6" w:rsidP="00A671E6"/>
    <w:p w14:paraId="3250947C" w14:textId="48F89734" w:rsidR="0012388D" w:rsidRPr="00372E7D" w:rsidRDefault="00B425AA" w:rsidP="00B425AA">
      <w:pPr>
        <w:pStyle w:val="FSTitle"/>
      </w:pPr>
      <w:r w:rsidRPr="00372E7D">
        <w:t>A</w:t>
      </w:r>
      <w:r w:rsidR="00DD265C" w:rsidRPr="00372E7D">
        <w:t>pproval</w:t>
      </w:r>
      <w:r w:rsidR="00C301B3">
        <w:t xml:space="preserve"> r</w:t>
      </w:r>
      <w:r w:rsidR="00DD265C" w:rsidRPr="00372E7D">
        <w:t>eport</w:t>
      </w:r>
      <w:r w:rsidRPr="00372E7D">
        <w:t xml:space="preserve"> –</w:t>
      </w:r>
      <w:r w:rsidR="00244139" w:rsidRPr="00372E7D">
        <w:t xml:space="preserve"> </w:t>
      </w:r>
      <w:r w:rsidR="00CA5734" w:rsidRPr="00372E7D">
        <w:t>P</w:t>
      </w:r>
      <w:r w:rsidR="00DD265C" w:rsidRPr="00372E7D">
        <w:t>roposal</w:t>
      </w:r>
      <w:r w:rsidR="00CA5734" w:rsidRPr="00372E7D">
        <w:t xml:space="preserve"> P</w:t>
      </w:r>
      <w:r w:rsidR="003424DD" w:rsidRPr="00372E7D">
        <w:t>1039</w:t>
      </w:r>
    </w:p>
    <w:p w14:paraId="3250947D" w14:textId="77777777" w:rsidR="003A7B84" w:rsidRPr="00372E7D" w:rsidRDefault="003A7B84" w:rsidP="00A671E6"/>
    <w:p w14:paraId="0CB9A04E" w14:textId="77777777" w:rsidR="003424DD" w:rsidRPr="00372E7D" w:rsidRDefault="003424DD" w:rsidP="003424DD">
      <w:pPr>
        <w:pStyle w:val="FSTitle"/>
      </w:pPr>
      <w:r w:rsidRPr="00372E7D">
        <w:t>Microbiological Criteria for Infant Formula</w:t>
      </w:r>
    </w:p>
    <w:p w14:paraId="3250947F" w14:textId="77777777" w:rsidR="003A7B84" w:rsidRPr="00E327A6" w:rsidRDefault="003A7B84" w:rsidP="00871116">
      <w:pPr>
        <w:pBdr>
          <w:bottom w:val="single" w:sz="12" w:space="1" w:color="auto"/>
        </w:pBdr>
        <w:tabs>
          <w:tab w:val="left" w:pos="1140"/>
        </w:tabs>
        <w:rPr>
          <w:rFonts w:cs="Arial"/>
          <w:bCs/>
        </w:rPr>
      </w:pPr>
    </w:p>
    <w:p w14:paraId="32509480" w14:textId="77777777" w:rsidR="003A7B84" w:rsidRPr="00E327A6" w:rsidRDefault="003A7B84" w:rsidP="003A7B84"/>
    <w:p w14:paraId="32509481" w14:textId="607731A9" w:rsidR="00EB6590" w:rsidRPr="00372E7D" w:rsidRDefault="000F3CFE" w:rsidP="00CA5734">
      <w:r w:rsidRPr="00372E7D">
        <w:t>Food Standards Australia New Zealand (FSANZ) has</w:t>
      </w:r>
      <w:r w:rsidR="00081B0A" w:rsidRPr="00372E7D">
        <w:t xml:space="preserve"> assessed </w:t>
      </w:r>
      <w:r w:rsidR="00CA5734" w:rsidRPr="00372E7D">
        <w:t>a proposal</w:t>
      </w:r>
      <w:r w:rsidR="00081B0A" w:rsidRPr="00372E7D">
        <w:t xml:space="preserve"> </w:t>
      </w:r>
      <w:r w:rsidR="003A7B84" w:rsidRPr="00372E7D">
        <w:t xml:space="preserve">prepared by FSANZ </w:t>
      </w:r>
      <w:r w:rsidR="00CA5734" w:rsidRPr="00372E7D">
        <w:t>to</w:t>
      </w:r>
      <w:r w:rsidR="00372E7D" w:rsidRPr="00372E7D">
        <w:t xml:space="preserve"> </w:t>
      </w:r>
      <w:r w:rsidR="00F14077">
        <w:t xml:space="preserve">amend the Code to </w:t>
      </w:r>
      <w:r w:rsidR="00372E7D" w:rsidRPr="00372E7D">
        <w:t>include food safety microbiological criteria for infant formula, aligning with international (Codex) standards</w:t>
      </w:r>
      <w:r w:rsidR="00081B0A" w:rsidRPr="00372E7D">
        <w:t>.</w:t>
      </w:r>
    </w:p>
    <w:p w14:paraId="32509482" w14:textId="77777777" w:rsidR="00CA5734" w:rsidRPr="00372E7D" w:rsidRDefault="00CA5734" w:rsidP="00CA5734"/>
    <w:p w14:paraId="32509483" w14:textId="3D14D7E0" w:rsidR="00081B0A" w:rsidRPr="00372E7D" w:rsidRDefault="00081B0A" w:rsidP="00CA5734">
      <w:r w:rsidRPr="00372E7D">
        <w:t xml:space="preserve">On </w:t>
      </w:r>
      <w:r w:rsidR="00244139" w:rsidRPr="00372E7D">
        <w:t>9 October 2015</w:t>
      </w:r>
      <w:r w:rsidR="003A7B84" w:rsidRPr="00372E7D">
        <w:t>,</w:t>
      </w:r>
      <w:r w:rsidRPr="00372E7D">
        <w:t xml:space="preserve"> FSANZ sought </w:t>
      </w:r>
      <w:r w:rsidR="003A7B84" w:rsidRPr="00372E7D">
        <w:t xml:space="preserve">submissions </w:t>
      </w:r>
      <w:r w:rsidR="00A671E6" w:rsidRPr="00372E7D">
        <w:t xml:space="preserve">on </w:t>
      </w:r>
      <w:r w:rsidR="00F526BD" w:rsidRPr="00372E7D">
        <w:t xml:space="preserve">a draft </w:t>
      </w:r>
      <w:r w:rsidR="00E30092" w:rsidRPr="00372E7D">
        <w:t xml:space="preserve">variation </w:t>
      </w:r>
      <w:r w:rsidR="003A7B84" w:rsidRPr="00372E7D">
        <w:t xml:space="preserve">and published an </w:t>
      </w:r>
      <w:r w:rsidR="00EC21DF" w:rsidRPr="00372E7D">
        <w:t>associated r</w:t>
      </w:r>
      <w:r w:rsidR="003A7B84" w:rsidRPr="00372E7D">
        <w:t>eport</w:t>
      </w:r>
      <w:r w:rsidRPr="00372E7D">
        <w:t>.</w:t>
      </w:r>
      <w:r w:rsidR="00F526BD" w:rsidRPr="00372E7D">
        <w:t xml:space="preserve"> FSANZ received </w:t>
      </w:r>
      <w:r w:rsidR="00244139" w:rsidRPr="00372E7D">
        <w:t xml:space="preserve">nine </w:t>
      </w:r>
      <w:r w:rsidR="00F526BD" w:rsidRPr="00372E7D">
        <w:t>submissions.</w:t>
      </w:r>
    </w:p>
    <w:p w14:paraId="32509484" w14:textId="77777777" w:rsidR="00CA5734" w:rsidRDefault="00CA5734" w:rsidP="00CA5734"/>
    <w:p w14:paraId="7A3A58A3" w14:textId="77777777" w:rsidR="00C301B3" w:rsidRDefault="00C301B3" w:rsidP="00C301B3">
      <w:r w:rsidRPr="00353DE3">
        <w:t>FSANZ approved the draft variation on</w:t>
      </w:r>
      <w:r w:rsidRPr="00FB5783">
        <w:t xml:space="preserve"> 3 March 2016.</w:t>
      </w:r>
      <w:r>
        <w:t xml:space="preserve"> The </w:t>
      </w:r>
      <w:r>
        <w:rPr>
          <w:rFonts w:cs="Helvetica"/>
          <w:lang w:val="en-AU"/>
        </w:rPr>
        <w:t xml:space="preserve">Australia and New Zealand Ministerial Forum on Food </w:t>
      </w:r>
      <w:r>
        <w:rPr>
          <w:rFonts w:cs="Arial"/>
        </w:rPr>
        <w:t>Regulation</w:t>
      </w:r>
      <w:r>
        <w:rPr>
          <w:rFonts w:cs="Helvetica"/>
          <w:lang w:val="en-AU"/>
        </w:rPr>
        <w:t xml:space="preserve"> </w:t>
      </w:r>
      <w:r>
        <w:rPr>
          <w:rFonts w:cs="Arial"/>
        </w:rPr>
        <w:t>(Forum)</w:t>
      </w:r>
      <w:r>
        <w:t xml:space="preserve"> was notified of FSANZ’s decision on </w:t>
      </w:r>
    </w:p>
    <w:p w14:paraId="2B676EB6" w14:textId="77777777" w:rsidR="00C301B3" w:rsidRDefault="00C301B3" w:rsidP="00C301B3">
      <w:r>
        <w:t>16 March 2016.</w:t>
      </w:r>
    </w:p>
    <w:p w14:paraId="18DC11BA" w14:textId="77777777" w:rsidR="00C301B3" w:rsidRDefault="00C301B3" w:rsidP="00CA5734"/>
    <w:p w14:paraId="32509487" w14:textId="2F30D4B5" w:rsidR="00081B0A" w:rsidRPr="00372E7D" w:rsidRDefault="003A7B84" w:rsidP="00CA5734">
      <w:r w:rsidRPr="00372E7D">
        <w:t>This R</w:t>
      </w:r>
      <w:r w:rsidR="00B425AA" w:rsidRPr="00372E7D">
        <w:t xml:space="preserve">eport is provided pursuant to </w:t>
      </w:r>
      <w:r w:rsidR="009A2699" w:rsidRPr="00372E7D">
        <w:t>paragraph</w:t>
      </w:r>
      <w:r w:rsidR="00081B0A" w:rsidRPr="00372E7D">
        <w:t xml:space="preserve"> </w:t>
      </w:r>
      <w:r w:rsidR="00F33470" w:rsidRPr="00372E7D">
        <w:t>63(1</w:t>
      </w:r>
      <w:proofErr w:type="gramStart"/>
      <w:r w:rsidR="00F33470" w:rsidRPr="00372E7D">
        <w:t>)(</w:t>
      </w:r>
      <w:proofErr w:type="gramEnd"/>
      <w:r w:rsidR="00F33470" w:rsidRPr="00372E7D">
        <w:t>b)</w:t>
      </w:r>
      <w:r w:rsidR="00081B0A" w:rsidRPr="00372E7D">
        <w:t xml:space="preserve"> of the </w:t>
      </w:r>
      <w:r w:rsidR="00081B0A" w:rsidRPr="00372E7D">
        <w:rPr>
          <w:i/>
        </w:rPr>
        <w:t>Food Standards Australia New Zealand Act 1991</w:t>
      </w:r>
      <w:r w:rsidR="00081B0A" w:rsidRPr="00372E7D">
        <w:t xml:space="preserve"> (the FSANZ Act).</w:t>
      </w:r>
    </w:p>
    <w:p w14:paraId="32509488" w14:textId="77777777" w:rsidR="00F526BD" w:rsidRDefault="00F526BD" w:rsidP="00A671E6"/>
    <w:p w14:paraId="32509489" w14:textId="77777777" w:rsidR="00EB6590" w:rsidRDefault="00EB6590" w:rsidP="00F526BD"/>
    <w:p w14:paraId="3250948A" w14:textId="77777777" w:rsidR="00A671E6" w:rsidRDefault="00A671E6" w:rsidP="00CC5468">
      <w:pPr>
        <w:sectPr w:rsidR="00A671E6" w:rsidSect="00C301B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3250948B"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3250948C" w14:textId="77777777" w:rsidR="00CE59AA" w:rsidRPr="006E10A1" w:rsidRDefault="00CE59AA" w:rsidP="00CE59AA">
      <w:pPr>
        <w:rPr>
          <w:rFonts w:cs="Arial"/>
          <w:sz w:val="20"/>
          <w:szCs w:val="20"/>
        </w:rPr>
      </w:pPr>
    </w:p>
    <w:p w14:paraId="188FF8D4" w14:textId="4F20AD4E" w:rsidR="003E0B67" w:rsidRPr="00C301B3"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C301B3">
        <w:rPr>
          <w:rFonts w:ascii="Arial" w:hAnsi="Arial" w:cs="Arial"/>
          <w:b w:val="0"/>
          <w:bCs w:val="0"/>
          <w:caps w:val="0"/>
          <w:smallCaps/>
        </w:rPr>
        <w:fldChar w:fldCharType="begin"/>
      </w:r>
      <w:r w:rsidRPr="00C301B3">
        <w:rPr>
          <w:rFonts w:ascii="Arial" w:hAnsi="Arial" w:cs="Arial"/>
        </w:rPr>
        <w:instrText xml:space="preserve"> TOC \h \z \t "Heading 1,1,Heading 2,2,Heading 3,3" </w:instrText>
      </w:r>
      <w:r w:rsidRPr="00C301B3">
        <w:rPr>
          <w:rFonts w:ascii="Arial" w:hAnsi="Arial" w:cs="Arial"/>
          <w:b w:val="0"/>
          <w:bCs w:val="0"/>
          <w:caps w:val="0"/>
          <w:smallCaps/>
        </w:rPr>
        <w:fldChar w:fldCharType="separate"/>
      </w:r>
      <w:hyperlink w:anchor="_Toc440636823" w:history="1">
        <w:r w:rsidR="003E0B67" w:rsidRPr="00C301B3">
          <w:rPr>
            <w:rStyle w:val="Hyperlink"/>
            <w:rFonts w:ascii="Arial" w:hAnsi="Arial" w:cs="Arial"/>
            <w:noProof/>
          </w:rPr>
          <w:t>Executive summary</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_Toc440636823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2</w:t>
        </w:r>
        <w:r w:rsidR="003E0B67" w:rsidRPr="00C301B3">
          <w:rPr>
            <w:rFonts w:ascii="Arial" w:hAnsi="Arial" w:cs="Arial"/>
            <w:noProof/>
            <w:webHidden/>
          </w:rPr>
          <w:fldChar w:fldCharType="end"/>
        </w:r>
      </w:hyperlink>
    </w:p>
    <w:p w14:paraId="664991C3" w14:textId="33A56F77" w:rsidR="003E0B67" w:rsidRPr="00C301B3" w:rsidRDefault="004E010D">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0636824" w:history="1">
        <w:r w:rsidR="003E0B67" w:rsidRPr="00C301B3">
          <w:rPr>
            <w:rStyle w:val="Hyperlink"/>
            <w:rFonts w:ascii="Arial" w:hAnsi="Arial" w:cs="Arial"/>
            <w:noProof/>
          </w:rPr>
          <w:t>1</w:t>
        </w:r>
        <w:r w:rsidR="003E0B67" w:rsidRPr="00C301B3">
          <w:rPr>
            <w:rFonts w:ascii="Arial" w:eastAsiaTheme="minorEastAsia" w:hAnsi="Arial" w:cs="Arial"/>
            <w:b w:val="0"/>
            <w:bCs w:val="0"/>
            <w:caps w:val="0"/>
            <w:noProof/>
            <w:sz w:val="22"/>
            <w:szCs w:val="22"/>
            <w:lang w:eastAsia="en-GB" w:bidi="ar-SA"/>
          </w:rPr>
          <w:tab/>
        </w:r>
        <w:r w:rsidR="003E0B67" w:rsidRPr="00C301B3">
          <w:rPr>
            <w:rStyle w:val="Hyperlink"/>
            <w:rFonts w:ascii="Arial" w:hAnsi="Arial" w:cs="Arial"/>
            <w:noProof/>
          </w:rPr>
          <w:t>Introduction</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_Toc440636824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3</w:t>
        </w:r>
        <w:r w:rsidR="003E0B67" w:rsidRPr="00C301B3">
          <w:rPr>
            <w:rFonts w:ascii="Arial" w:hAnsi="Arial" w:cs="Arial"/>
            <w:noProof/>
            <w:webHidden/>
          </w:rPr>
          <w:fldChar w:fldCharType="end"/>
        </w:r>
      </w:hyperlink>
    </w:p>
    <w:p w14:paraId="2F69E140" w14:textId="6CB1F1CF"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25" w:history="1">
        <w:r w:rsidR="003E0B67" w:rsidRPr="00C301B3">
          <w:rPr>
            <w:rStyle w:val="Hyperlink"/>
            <w:rFonts w:ascii="Arial" w:hAnsi="Arial" w:cs="Arial"/>
            <w:noProof/>
          </w:rPr>
          <w:t>1.1</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The Proposal</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_Toc440636825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3</w:t>
        </w:r>
        <w:r w:rsidR="003E0B67" w:rsidRPr="00C301B3">
          <w:rPr>
            <w:rFonts w:ascii="Arial" w:hAnsi="Arial" w:cs="Arial"/>
            <w:noProof/>
            <w:webHidden/>
          </w:rPr>
          <w:fldChar w:fldCharType="end"/>
        </w:r>
      </w:hyperlink>
    </w:p>
    <w:p w14:paraId="0BF30DF3" w14:textId="01967A47"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26" w:history="1">
        <w:r w:rsidR="003E0B67" w:rsidRPr="00C301B3">
          <w:rPr>
            <w:rStyle w:val="Hyperlink"/>
            <w:rFonts w:ascii="Arial" w:hAnsi="Arial" w:cs="Arial"/>
            <w:noProof/>
          </w:rPr>
          <w:t>1.2</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The current Standard</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_Toc440636826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3</w:t>
        </w:r>
        <w:r w:rsidR="003E0B67" w:rsidRPr="00C301B3">
          <w:rPr>
            <w:rFonts w:ascii="Arial" w:hAnsi="Arial" w:cs="Arial"/>
            <w:noProof/>
            <w:webHidden/>
          </w:rPr>
          <w:fldChar w:fldCharType="end"/>
        </w:r>
      </w:hyperlink>
    </w:p>
    <w:p w14:paraId="066AD183" w14:textId="04DDB4D0" w:rsidR="003E0B67" w:rsidRPr="00C301B3" w:rsidRDefault="004E010D">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0636827" w:history="1">
        <w:r w:rsidR="003E0B67" w:rsidRPr="00C301B3">
          <w:rPr>
            <w:rStyle w:val="Hyperlink"/>
            <w:rFonts w:ascii="Arial" w:hAnsi="Arial" w:cs="Arial"/>
            <w:noProof/>
          </w:rPr>
          <w:t>1.2.1</w:t>
        </w:r>
        <w:r w:rsidR="003E0B67" w:rsidRPr="00C301B3">
          <w:rPr>
            <w:rFonts w:ascii="Arial" w:eastAsiaTheme="minorEastAsia" w:hAnsi="Arial" w:cs="Arial"/>
            <w:i w:val="0"/>
            <w:iCs w:val="0"/>
            <w:noProof/>
            <w:sz w:val="22"/>
            <w:szCs w:val="22"/>
            <w:lang w:eastAsia="en-GB" w:bidi="ar-SA"/>
          </w:rPr>
          <w:tab/>
        </w:r>
        <w:r w:rsidR="003E0B67" w:rsidRPr="00C301B3">
          <w:rPr>
            <w:rStyle w:val="Hyperlink"/>
            <w:rFonts w:ascii="Arial" w:hAnsi="Arial" w:cs="Arial"/>
            <w:noProof/>
          </w:rPr>
          <w:t>Other relevant standards</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_Toc440636827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3</w:t>
        </w:r>
        <w:r w:rsidR="003E0B67" w:rsidRPr="00C301B3">
          <w:rPr>
            <w:rFonts w:ascii="Arial" w:hAnsi="Arial" w:cs="Arial"/>
            <w:noProof/>
            <w:webHidden/>
          </w:rPr>
          <w:fldChar w:fldCharType="end"/>
        </w:r>
      </w:hyperlink>
    </w:p>
    <w:p w14:paraId="4AF444D6" w14:textId="486E39D3"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28" w:history="1">
        <w:r w:rsidR="003E0B67" w:rsidRPr="00C301B3">
          <w:rPr>
            <w:rStyle w:val="Hyperlink"/>
            <w:rFonts w:ascii="Arial" w:hAnsi="Arial" w:cs="Arial"/>
            <w:noProof/>
            <w:u w:color="FFFF00"/>
          </w:rPr>
          <w:t>1.3</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u w:color="FFFF00"/>
          </w:rPr>
          <w:t xml:space="preserve">Reasons for </w:t>
        </w:r>
        <w:r w:rsidR="003E0B67" w:rsidRPr="00C301B3">
          <w:rPr>
            <w:rStyle w:val="Hyperlink"/>
            <w:rFonts w:ascii="Arial" w:hAnsi="Arial" w:cs="Arial"/>
            <w:noProof/>
          </w:rPr>
          <w:t>preparing Proposal</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_Toc440636828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4</w:t>
        </w:r>
        <w:r w:rsidR="003E0B67" w:rsidRPr="00C301B3">
          <w:rPr>
            <w:rFonts w:ascii="Arial" w:hAnsi="Arial" w:cs="Arial"/>
            <w:noProof/>
            <w:webHidden/>
          </w:rPr>
          <w:fldChar w:fldCharType="end"/>
        </w:r>
      </w:hyperlink>
    </w:p>
    <w:p w14:paraId="1801B311" w14:textId="47AD23B7"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29" w:history="1">
        <w:r w:rsidR="003E0B67" w:rsidRPr="00C301B3">
          <w:rPr>
            <w:rStyle w:val="Hyperlink"/>
            <w:rFonts w:ascii="Arial" w:hAnsi="Arial" w:cs="Arial"/>
            <w:noProof/>
          </w:rPr>
          <w:t>1.4</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Procedure for assessment</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_Toc440636829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4</w:t>
        </w:r>
        <w:r w:rsidR="003E0B67" w:rsidRPr="00C301B3">
          <w:rPr>
            <w:rFonts w:ascii="Arial" w:hAnsi="Arial" w:cs="Arial"/>
            <w:noProof/>
            <w:webHidden/>
          </w:rPr>
          <w:fldChar w:fldCharType="end"/>
        </w:r>
      </w:hyperlink>
    </w:p>
    <w:p w14:paraId="143F472E" w14:textId="583FED5C"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30" w:history="1">
        <w:r w:rsidR="003E0B67" w:rsidRPr="00C301B3">
          <w:rPr>
            <w:rStyle w:val="Hyperlink"/>
            <w:rFonts w:ascii="Arial" w:hAnsi="Arial" w:cs="Arial"/>
            <w:noProof/>
          </w:rPr>
          <w:t>1.5</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Decision</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_Toc440636830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4</w:t>
        </w:r>
        <w:r w:rsidR="003E0B67" w:rsidRPr="00C301B3">
          <w:rPr>
            <w:rFonts w:ascii="Arial" w:hAnsi="Arial" w:cs="Arial"/>
            <w:noProof/>
            <w:webHidden/>
          </w:rPr>
          <w:fldChar w:fldCharType="end"/>
        </w:r>
      </w:hyperlink>
    </w:p>
    <w:p w14:paraId="5A9A656F" w14:textId="2781C002" w:rsidR="003E0B67" w:rsidRPr="00C301B3" w:rsidRDefault="004E010D">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0636831" w:history="1">
        <w:r w:rsidR="003E0B67" w:rsidRPr="00C301B3">
          <w:rPr>
            <w:rStyle w:val="Hyperlink"/>
            <w:rFonts w:ascii="Arial" w:hAnsi="Arial" w:cs="Arial"/>
            <w:noProof/>
          </w:rPr>
          <w:t>2</w:t>
        </w:r>
        <w:r w:rsidR="003E0B67" w:rsidRPr="00C301B3">
          <w:rPr>
            <w:rFonts w:ascii="Arial" w:eastAsiaTheme="minorEastAsia" w:hAnsi="Arial" w:cs="Arial"/>
            <w:b w:val="0"/>
            <w:bCs w:val="0"/>
            <w:caps w:val="0"/>
            <w:noProof/>
            <w:sz w:val="22"/>
            <w:szCs w:val="22"/>
            <w:lang w:eastAsia="en-GB" w:bidi="ar-SA"/>
          </w:rPr>
          <w:tab/>
        </w:r>
        <w:r w:rsidR="003E0B67" w:rsidRPr="00C301B3">
          <w:rPr>
            <w:rStyle w:val="Hyperlink"/>
            <w:rFonts w:ascii="Arial" w:hAnsi="Arial" w:cs="Arial"/>
            <w:noProof/>
          </w:rPr>
          <w:t xml:space="preserve">Summary </w:t>
        </w:r>
        <w:r w:rsidR="003E0B67" w:rsidRPr="00C301B3">
          <w:rPr>
            <w:rStyle w:val="Hyperlink"/>
            <w:rFonts w:ascii="Arial" w:hAnsi="Arial" w:cs="Arial"/>
            <w:noProof/>
            <w:u w:color="FFFF00"/>
          </w:rPr>
          <w:t>of</w:t>
        </w:r>
        <w:r w:rsidR="003E0B67" w:rsidRPr="00C301B3">
          <w:rPr>
            <w:rStyle w:val="Hyperlink"/>
            <w:rFonts w:ascii="Arial" w:hAnsi="Arial" w:cs="Arial"/>
            <w:noProof/>
          </w:rPr>
          <w:t xml:space="preserve"> the findings</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_Toc440636831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4</w:t>
        </w:r>
        <w:r w:rsidR="003E0B67" w:rsidRPr="00C301B3">
          <w:rPr>
            <w:rFonts w:ascii="Arial" w:hAnsi="Arial" w:cs="Arial"/>
            <w:noProof/>
            <w:webHidden/>
          </w:rPr>
          <w:fldChar w:fldCharType="end"/>
        </w:r>
      </w:hyperlink>
    </w:p>
    <w:p w14:paraId="7032363A" w14:textId="37AFE18C"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32" w:history="1">
        <w:r w:rsidR="003E0B67" w:rsidRPr="00C301B3">
          <w:rPr>
            <w:rStyle w:val="Hyperlink"/>
            <w:rFonts w:ascii="Arial" w:hAnsi="Arial" w:cs="Arial"/>
            <w:noProof/>
          </w:rPr>
          <w:t>2.1</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Summary of issues raised in submissions</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_Toc440636832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4</w:t>
        </w:r>
        <w:r w:rsidR="003E0B67" w:rsidRPr="00C301B3">
          <w:rPr>
            <w:rFonts w:ascii="Arial" w:hAnsi="Arial" w:cs="Arial"/>
            <w:noProof/>
            <w:webHidden/>
          </w:rPr>
          <w:fldChar w:fldCharType="end"/>
        </w:r>
      </w:hyperlink>
    </w:p>
    <w:p w14:paraId="51574648" w14:textId="716C8302"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33" w:history="1">
        <w:r w:rsidR="003E0B67" w:rsidRPr="00C301B3">
          <w:rPr>
            <w:rStyle w:val="Hyperlink"/>
            <w:rFonts w:ascii="Arial" w:hAnsi="Arial" w:cs="Arial"/>
            <w:noProof/>
          </w:rPr>
          <w:t>2.2</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Risk assessment</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_Toc440636833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9</w:t>
        </w:r>
        <w:r w:rsidR="003E0B67" w:rsidRPr="00C301B3">
          <w:rPr>
            <w:rFonts w:ascii="Arial" w:hAnsi="Arial" w:cs="Arial"/>
            <w:noProof/>
            <w:webHidden/>
          </w:rPr>
          <w:fldChar w:fldCharType="end"/>
        </w:r>
      </w:hyperlink>
    </w:p>
    <w:p w14:paraId="1C3011B3" w14:textId="6AEAEB0B"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34" w:history="1">
        <w:r w:rsidR="003E0B67" w:rsidRPr="00C301B3">
          <w:rPr>
            <w:rStyle w:val="Hyperlink"/>
            <w:rFonts w:ascii="Arial" w:hAnsi="Arial" w:cs="Arial"/>
            <w:noProof/>
          </w:rPr>
          <w:t>2.3</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Risk management</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_Toc440636834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9</w:t>
        </w:r>
        <w:r w:rsidR="003E0B67" w:rsidRPr="00C301B3">
          <w:rPr>
            <w:rFonts w:ascii="Arial" w:hAnsi="Arial" w:cs="Arial"/>
            <w:noProof/>
            <w:webHidden/>
          </w:rPr>
          <w:fldChar w:fldCharType="end"/>
        </w:r>
      </w:hyperlink>
    </w:p>
    <w:p w14:paraId="7B23B5D3" w14:textId="514806D9"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35" w:history="1">
        <w:r w:rsidR="003E0B67" w:rsidRPr="00C301B3">
          <w:rPr>
            <w:rStyle w:val="Hyperlink"/>
            <w:rFonts w:ascii="Arial" w:hAnsi="Arial" w:cs="Arial"/>
            <w:noProof/>
          </w:rPr>
          <w:t>2.4</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Risk communication</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_Toc440636835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10</w:t>
        </w:r>
        <w:r w:rsidR="003E0B67" w:rsidRPr="00C301B3">
          <w:rPr>
            <w:rFonts w:ascii="Arial" w:hAnsi="Arial" w:cs="Arial"/>
            <w:noProof/>
            <w:webHidden/>
          </w:rPr>
          <w:fldChar w:fldCharType="end"/>
        </w:r>
      </w:hyperlink>
    </w:p>
    <w:p w14:paraId="24034987" w14:textId="533B846E" w:rsidR="003E0B67" w:rsidRPr="00C301B3" w:rsidRDefault="004E010D">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0636836" w:history="1">
        <w:r w:rsidR="003E0B67" w:rsidRPr="00C301B3">
          <w:rPr>
            <w:rStyle w:val="Hyperlink"/>
            <w:rFonts w:ascii="Arial" w:hAnsi="Arial" w:cs="Arial"/>
            <w:noProof/>
          </w:rPr>
          <w:t>2.4.1</w:t>
        </w:r>
        <w:r w:rsidR="003E0B67" w:rsidRPr="00C301B3">
          <w:rPr>
            <w:rFonts w:ascii="Arial" w:eastAsiaTheme="minorEastAsia" w:hAnsi="Arial" w:cs="Arial"/>
            <w:i w:val="0"/>
            <w:iCs w:val="0"/>
            <w:noProof/>
            <w:sz w:val="22"/>
            <w:szCs w:val="22"/>
            <w:lang w:eastAsia="en-GB" w:bidi="ar-SA"/>
          </w:rPr>
          <w:tab/>
        </w:r>
        <w:r w:rsidR="003E0B67" w:rsidRPr="00C301B3">
          <w:rPr>
            <w:rStyle w:val="Hyperlink"/>
            <w:rFonts w:ascii="Arial" w:hAnsi="Arial" w:cs="Arial"/>
            <w:noProof/>
          </w:rPr>
          <w:t>Consultation</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_Toc440636836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10</w:t>
        </w:r>
        <w:r w:rsidR="003E0B67" w:rsidRPr="00C301B3">
          <w:rPr>
            <w:rFonts w:ascii="Arial" w:hAnsi="Arial" w:cs="Arial"/>
            <w:noProof/>
            <w:webHidden/>
          </w:rPr>
          <w:fldChar w:fldCharType="end"/>
        </w:r>
      </w:hyperlink>
    </w:p>
    <w:p w14:paraId="2D288CD9" w14:textId="2D544262" w:rsidR="003E0B67" w:rsidRPr="00C301B3" w:rsidRDefault="004E010D">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0636837" w:history="1">
        <w:r w:rsidR="003E0B67" w:rsidRPr="00C301B3">
          <w:rPr>
            <w:rStyle w:val="Hyperlink"/>
            <w:rFonts w:ascii="Arial" w:hAnsi="Arial" w:cs="Arial"/>
            <w:noProof/>
          </w:rPr>
          <w:t>2.4.2</w:t>
        </w:r>
        <w:r w:rsidR="003E0B67" w:rsidRPr="00C301B3">
          <w:rPr>
            <w:rFonts w:ascii="Arial" w:eastAsiaTheme="minorEastAsia" w:hAnsi="Arial" w:cs="Arial"/>
            <w:i w:val="0"/>
            <w:iCs w:val="0"/>
            <w:noProof/>
            <w:sz w:val="22"/>
            <w:szCs w:val="22"/>
            <w:lang w:eastAsia="en-GB" w:bidi="ar-SA"/>
          </w:rPr>
          <w:tab/>
        </w:r>
        <w:r w:rsidR="003E0B67" w:rsidRPr="00C301B3">
          <w:rPr>
            <w:rStyle w:val="Hyperlink"/>
            <w:rFonts w:ascii="Arial" w:hAnsi="Arial" w:cs="Arial"/>
            <w:noProof/>
          </w:rPr>
          <w:t>World Trade Organization (WTO)</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_Toc440636837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10</w:t>
        </w:r>
        <w:r w:rsidR="003E0B67" w:rsidRPr="00C301B3">
          <w:rPr>
            <w:rFonts w:ascii="Arial" w:hAnsi="Arial" w:cs="Arial"/>
            <w:noProof/>
            <w:webHidden/>
          </w:rPr>
          <w:fldChar w:fldCharType="end"/>
        </w:r>
      </w:hyperlink>
    </w:p>
    <w:p w14:paraId="07B01B48" w14:textId="14837BF3" w:rsidR="003E0B67" w:rsidRPr="00C301B3" w:rsidRDefault="004E010D">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0636838" w:history="1">
        <w:r w:rsidR="003E0B67" w:rsidRPr="00C301B3">
          <w:rPr>
            <w:rStyle w:val="Hyperlink"/>
            <w:rFonts w:ascii="Arial" w:hAnsi="Arial" w:cs="Arial"/>
            <w:noProof/>
          </w:rPr>
          <w:t>2.5</w:t>
        </w:r>
        <w:r w:rsidR="003E0B67" w:rsidRPr="00C301B3">
          <w:rPr>
            <w:rFonts w:ascii="Arial" w:eastAsiaTheme="minorEastAsia" w:hAnsi="Arial" w:cs="Arial"/>
            <w:smallCaps w:val="0"/>
            <w:noProof/>
            <w:sz w:val="22"/>
            <w:szCs w:val="22"/>
            <w:lang w:eastAsia="en-GB" w:bidi="ar-SA"/>
          </w:rPr>
          <w:tab/>
        </w:r>
        <w:r w:rsidR="003E0B67" w:rsidRPr="00C301B3">
          <w:rPr>
            <w:rStyle w:val="Hyperlink"/>
            <w:rFonts w:ascii="Arial" w:hAnsi="Arial" w:cs="Arial"/>
            <w:noProof/>
          </w:rPr>
          <w:t>FSANZ Act assessment requirements</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_Toc440636838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11</w:t>
        </w:r>
        <w:r w:rsidR="003E0B67" w:rsidRPr="00C301B3">
          <w:rPr>
            <w:rFonts w:ascii="Arial" w:hAnsi="Arial" w:cs="Arial"/>
            <w:noProof/>
            <w:webHidden/>
          </w:rPr>
          <w:fldChar w:fldCharType="end"/>
        </w:r>
      </w:hyperlink>
    </w:p>
    <w:p w14:paraId="0A134059" w14:textId="1336E4A9" w:rsidR="003E0B67" w:rsidRPr="00C301B3" w:rsidRDefault="004E010D">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0636839" w:history="1">
        <w:r w:rsidR="003E0B67" w:rsidRPr="00C301B3">
          <w:rPr>
            <w:rStyle w:val="Hyperlink"/>
            <w:rFonts w:ascii="Arial" w:hAnsi="Arial" w:cs="Arial"/>
            <w:noProof/>
          </w:rPr>
          <w:t>2.5.1</w:t>
        </w:r>
        <w:r w:rsidR="003E0B67" w:rsidRPr="00C301B3">
          <w:rPr>
            <w:rFonts w:ascii="Arial" w:eastAsiaTheme="minorEastAsia" w:hAnsi="Arial" w:cs="Arial"/>
            <w:i w:val="0"/>
            <w:iCs w:val="0"/>
            <w:noProof/>
            <w:sz w:val="22"/>
            <w:szCs w:val="22"/>
            <w:lang w:eastAsia="en-GB" w:bidi="ar-SA"/>
          </w:rPr>
          <w:tab/>
        </w:r>
        <w:r w:rsidR="003E0B67" w:rsidRPr="00C301B3">
          <w:rPr>
            <w:rStyle w:val="Hyperlink"/>
            <w:rFonts w:ascii="Arial" w:hAnsi="Arial" w:cs="Arial"/>
            <w:noProof/>
          </w:rPr>
          <w:t>Section 59</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_Toc440636839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11</w:t>
        </w:r>
        <w:r w:rsidR="003E0B67" w:rsidRPr="00C301B3">
          <w:rPr>
            <w:rFonts w:ascii="Arial" w:hAnsi="Arial" w:cs="Arial"/>
            <w:noProof/>
            <w:webHidden/>
          </w:rPr>
          <w:fldChar w:fldCharType="end"/>
        </w:r>
      </w:hyperlink>
    </w:p>
    <w:p w14:paraId="1F9849BC" w14:textId="3BEED088" w:rsidR="003E0B67" w:rsidRPr="00C301B3" w:rsidRDefault="004E010D">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0636840" w:history="1">
        <w:r w:rsidR="003E0B67" w:rsidRPr="00C301B3">
          <w:rPr>
            <w:rStyle w:val="Hyperlink"/>
            <w:rFonts w:ascii="Arial" w:hAnsi="Arial" w:cs="Arial"/>
            <w:noProof/>
          </w:rPr>
          <w:t>2.5.2</w:t>
        </w:r>
        <w:r w:rsidR="003E0B67" w:rsidRPr="00C301B3">
          <w:rPr>
            <w:rFonts w:ascii="Arial" w:eastAsiaTheme="minorEastAsia" w:hAnsi="Arial" w:cs="Arial"/>
            <w:i w:val="0"/>
            <w:iCs w:val="0"/>
            <w:noProof/>
            <w:sz w:val="22"/>
            <w:szCs w:val="22"/>
            <w:lang w:eastAsia="en-GB" w:bidi="ar-SA"/>
          </w:rPr>
          <w:tab/>
        </w:r>
        <w:r w:rsidR="003E0B67" w:rsidRPr="00C301B3">
          <w:rPr>
            <w:rStyle w:val="Hyperlink"/>
            <w:rFonts w:ascii="Arial" w:hAnsi="Arial" w:cs="Arial"/>
            <w:noProof/>
          </w:rPr>
          <w:t>Subsection 18(1)</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_Toc440636840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12</w:t>
        </w:r>
        <w:r w:rsidR="003E0B67" w:rsidRPr="00C301B3">
          <w:rPr>
            <w:rFonts w:ascii="Arial" w:hAnsi="Arial" w:cs="Arial"/>
            <w:noProof/>
            <w:webHidden/>
          </w:rPr>
          <w:fldChar w:fldCharType="end"/>
        </w:r>
      </w:hyperlink>
    </w:p>
    <w:p w14:paraId="30517C00" w14:textId="53C2C088" w:rsidR="003E0B67" w:rsidRPr="00C301B3" w:rsidRDefault="004E010D">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0636841" w:history="1">
        <w:r w:rsidR="003E0B67" w:rsidRPr="00C301B3">
          <w:rPr>
            <w:rStyle w:val="Hyperlink"/>
            <w:rFonts w:ascii="Arial" w:hAnsi="Arial" w:cs="Arial"/>
            <w:noProof/>
          </w:rPr>
          <w:t>4</w:t>
        </w:r>
        <w:r w:rsidR="003E0B67" w:rsidRPr="00C301B3">
          <w:rPr>
            <w:rFonts w:ascii="Arial" w:eastAsiaTheme="minorEastAsia" w:hAnsi="Arial" w:cs="Arial"/>
            <w:b w:val="0"/>
            <w:bCs w:val="0"/>
            <w:caps w:val="0"/>
            <w:noProof/>
            <w:sz w:val="22"/>
            <w:szCs w:val="22"/>
            <w:lang w:eastAsia="en-GB" w:bidi="ar-SA"/>
          </w:rPr>
          <w:tab/>
        </w:r>
        <w:r w:rsidR="003E0B67" w:rsidRPr="00C301B3">
          <w:rPr>
            <w:rStyle w:val="Hyperlink"/>
            <w:rFonts w:ascii="Arial" w:hAnsi="Arial" w:cs="Arial"/>
            <w:noProof/>
          </w:rPr>
          <w:t>Implementation</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_Toc440636841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13</w:t>
        </w:r>
        <w:r w:rsidR="003E0B67" w:rsidRPr="00C301B3">
          <w:rPr>
            <w:rFonts w:ascii="Arial" w:hAnsi="Arial" w:cs="Arial"/>
            <w:noProof/>
            <w:webHidden/>
          </w:rPr>
          <w:fldChar w:fldCharType="end"/>
        </w:r>
      </w:hyperlink>
    </w:p>
    <w:p w14:paraId="410EE983" w14:textId="7160F40D" w:rsidR="003E0B67" w:rsidRPr="00C301B3" w:rsidRDefault="004E010D">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0636842" w:history="1">
        <w:r w:rsidR="003E0B67" w:rsidRPr="00C301B3">
          <w:rPr>
            <w:rStyle w:val="Hyperlink"/>
            <w:rFonts w:ascii="Arial" w:hAnsi="Arial" w:cs="Arial"/>
            <w:noProof/>
          </w:rPr>
          <w:t>5</w:t>
        </w:r>
        <w:r w:rsidR="003E0B67" w:rsidRPr="00C301B3">
          <w:rPr>
            <w:rFonts w:ascii="Arial" w:eastAsiaTheme="minorEastAsia" w:hAnsi="Arial" w:cs="Arial"/>
            <w:b w:val="0"/>
            <w:bCs w:val="0"/>
            <w:caps w:val="0"/>
            <w:noProof/>
            <w:sz w:val="22"/>
            <w:szCs w:val="22"/>
            <w:lang w:eastAsia="en-GB" w:bidi="ar-SA"/>
          </w:rPr>
          <w:tab/>
        </w:r>
        <w:r w:rsidR="003E0B67" w:rsidRPr="00C301B3">
          <w:rPr>
            <w:rStyle w:val="Hyperlink"/>
            <w:rFonts w:ascii="Arial" w:hAnsi="Arial" w:cs="Arial"/>
            <w:noProof/>
          </w:rPr>
          <w:t>References</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_Toc440636842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13</w:t>
        </w:r>
        <w:r w:rsidR="003E0B67" w:rsidRPr="00C301B3">
          <w:rPr>
            <w:rFonts w:ascii="Arial" w:hAnsi="Arial" w:cs="Arial"/>
            <w:noProof/>
            <w:webHidden/>
          </w:rPr>
          <w:fldChar w:fldCharType="end"/>
        </w:r>
      </w:hyperlink>
    </w:p>
    <w:p w14:paraId="74211470" w14:textId="2F7F7DFA" w:rsidR="003E0B67" w:rsidRPr="00C301B3" w:rsidRDefault="004E010D">
      <w:pPr>
        <w:pStyle w:val="TOC2"/>
        <w:tabs>
          <w:tab w:val="right" w:leader="dot" w:pos="9016"/>
        </w:tabs>
        <w:rPr>
          <w:rFonts w:ascii="Arial" w:eastAsiaTheme="minorEastAsia" w:hAnsi="Arial" w:cs="Arial"/>
          <w:smallCaps w:val="0"/>
          <w:noProof/>
          <w:sz w:val="22"/>
          <w:szCs w:val="22"/>
          <w:lang w:eastAsia="en-GB" w:bidi="ar-SA"/>
        </w:rPr>
      </w:pPr>
      <w:hyperlink w:anchor="_Toc440636843" w:history="1">
        <w:r w:rsidR="003E0B67" w:rsidRPr="00C301B3">
          <w:rPr>
            <w:rStyle w:val="Hyperlink"/>
            <w:rFonts w:ascii="Arial" w:hAnsi="Arial" w:cs="Arial"/>
            <w:noProof/>
          </w:rPr>
          <w:t xml:space="preserve">Attachment A – Approved draft variations to the </w:t>
        </w:r>
        <w:r w:rsidR="003E0B67" w:rsidRPr="00C301B3">
          <w:rPr>
            <w:rStyle w:val="Hyperlink"/>
            <w:rFonts w:ascii="Arial" w:hAnsi="Arial" w:cs="Arial"/>
            <w:i/>
            <w:noProof/>
          </w:rPr>
          <w:t>Australia New Zealand Food Standards Code</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_Toc440636843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15</w:t>
        </w:r>
        <w:r w:rsidR="003E0B67" w:rsidRPr="00C301B3">
          <w:rPr>
            <w:rFonts w:ascii="Arial" w:hAnsi="Arial" w:cs="Arial"/>
            <w:noProof/>
            <w:webHidden/>
          </w:rPr>
          <w:fldChar w:fldCharType="end"/>
        </w:r>
      </w:hyperlink>
    </w:p>
    <w:p w14:paraId="341A0253" w14:textId="49109ED6" w:rsidR="003E0B67" w:rsidRPr="00C301B3" w:rsidRDefault="004E010D">
      <w:pPr>
        <w:pStyle w:val="TOC2"/>
        <w:tabs>
          <w:tab w:val="right" w:leader="dot" w:pos="9016"/>
        </w:tabs>
        <w:rPr>
          <w:rFonts w:ascii="Arial" w:eastAsiaTheme="minorEastAsia" w:hAnsi="Arial" w:cs="Arial"/>
          <w:smallCaps w:val="0"/>
          <w:noProof/>
          <w:sz w:val="22"/>
          <w:szCs w:val="22"/>
          <w:lang w:eastAsia="en-GB" w:bidi="ar-SA"/>
        </w:rPr>
      </w:pPr>
      <w:hyperlink w:anchor="_Toc440636844" w:history="1">
        <w:r w:rsidR="003E0B67" w:rsidRPr="00C301B3">
          <w:rPr>
            <w:rStyle w:val="Hyperlink"/>
            <w:rFonts w:ascii="Arial" w:hAnsi="Arial" w:cs="Arial"/>
            <w:noProof/>
          </w:rPr>
          <w:t>Attachment B – Explanatory Statement</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_Toc440636844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17</w:t>
        </w:r>
        <w:r w:rsidR="003E0B67" w:rsidRPr="00C301B3">
          <w:rPr>
            <w:rFonts w:ascii="Arial" w:hAnsi="Arial" w:cs="Arial"/>
            <w:noProof/>
            <w:webHidden/>
          </w:rPr>
          <w:fldChar w:fldCharType="end"/>
        </w:r>
      </w:hyperlink>
    </w:p>
    <w:p w14:paraId="64D80ABC" w14:textId="1DAA485E" w:rsidR="003E0B67" w:rsidRPr="00C301B3" w:rsidRDefault="004E010D">
      <w:pPr>
        <w:pStyle w:val="TOC2"/>
        <w:tabs>
          <w:tab w:val="right" w:leader="dot" w:pos="9016"/>
        </w:tabs>
        <w:rPr>
          <w:rFonts w:ascii="Arial" w:eastAsiaTheme="minorEastAsia" w:hAnsi="Arial" w:cs="Arial"/>
          <w:smallCaps w:val="0"/>
          <w:noProof/>
          <w:sz w:val="22"/>
          <w:szCs w:val="22"/>
          <w:lang w:eastAsia="en-GB" w:bidi="ar-SA"/>
        </w:rPr>
      </w:pPr>
      <w:hyperlink w:anchor="_Toc440636845" w:history="1">
        <w:r w:rsidR="003E0B67" w:rsidRPr="00C301B3">
          <w:rPr>
            <w:rStyle w:val="Hyperlink"/>
            <w:rFonts w:ascii="Arial" w:hAnsi="Arial" w:cs="Arial"/>
            <w:noProof/>
          </w:rPr>
          <w:t xml:space="preserve">Attachment C – Draft variations to the </w:t>
        </w:r>
        <w:r w:rsidR="003E0B67" w:rsidRPr="00C301B3">
          <w:rPr>
            <w:rStyle w:val="Hyperlink"/>
            <w:rFonts w:ascii="Arial" w:hAnsi="Arial" w:cs="Arial"/>
            <w:i/>
            <w:noProof/>
          </w:rPr>
          <w:t xml:space="preserve">Australia New Zealand Food Standards Code </w:t>
        </w:r>
        <w:r w:rsidR="003E0B67" w:rsidRPr="00C301B3">
          <w:rPr>
            <w:rStyle w:val="Hyperlink"/>
            <w:rFonts w:ascii="Arial" w:hAnsi="Arial" w:cs="Arial"/>
            <w:noProof/>
          </w:rPr>
          <w:t>(call for submissions)</w:t>
        </w:r>
        <w:r w:rsidR="003E0B67" w:rsidRPr="00C301B3">
          <w:rPr>
            <w:rFonts w:ascii="Arial" w:hAnsi="Arial" w:cs="Arial"/>
            <w:noProof/>
            <w:webHidden/>
          </w:rPr>
          <w:tab/>
        </w:r>
        <w:r w:rsidR="003E0B67" w:rsidRPr="00C301B3">
          <w:rPr>
            <w:rFonts w:ascii="Arial" w:hAnsi="Arial" w:cs="Arial"/>
            <w:noProof/>
            <w:webHidden/>
          </w:rPr>
          <w:fldChar w:fldCharType="begin"/>
        </w:r>
        <w:r w:rsidR="003E0B67" w:rsidRPr="00C301B3">
          <w:rPr>
            <w:rFonts w:ascii="Arial" w:hAnsi="Arial" w:cs="Arial"/>
            <w:noProof/>
            <w:webHidden/>
          </w:rPr>
          <w:instrText xml:space="preserve"> PAGEREF _Toc440636845 \h </w:instrText>
        </w:r>
        <w:r w:rsidR="003E0B67" w:rsidRPr="00C301B3">
          <w:rPr>
            <w:rFonts w:ascii="Arial" w:hAnsi="Arial" w:cs="Arial"/>
            <w:noProof/>
            <w:webHidden/>
          </w:rPr>
        </w:r>
        <w:r w:rsidR="003E0B67" w:rsidRPr="00C301B3">
          <w:rPr>
            <w:rFonts w:ascii="Arial" w:hAnsi="Arial" w:cs="Arial"/>
            <w:noProof/>
            <w:webHidden/>
          </w:rPr>
          <w:fldChar w:fldCharType="separate"/>
        </w:r>
        <w:r w:rsidR="00055682" w:rsidRPr="00C301B3">
          <w:rPr>
            <w:rFonts w:ascii="Arial" w:hAnsi="Arial" w:cs="Arial"/>
            <w:noProof/>
            <w:webHidden/>
          </w:rPr>
          <w:t>19</w:t>
        </w:r>
        <w:r w:rsidR="003E0B67" w:rsidRPr="00C301B3">
          <w:rPr>
            <w:rFonts w:ascii="Arial" w:hAnsi="Arial" w:cs="Arial"/>
            <w:noProof/>
            <w:webHidden/>
          </w:rPr>
          <w:fldChar w:fldCharType="end"/>
        </w:r>
      </w:hyperlink>
    </w:p>
    <w:p w14:paraId="325094A8" w14:textId="6471FFD4" w:rsidR="007F7BF7" w:rsidRDefault="00B55714" w:rsidP="00CA5734">
      <w:r w:rsidRPr="00C301B3">
        <w:rPr>
          <w:rFonts w:cs="Arial"/>
          <w:sz w:val="20"/>
          <w:szCs w:val="20"/>
        </w:rPr>
        <w:fldChar w:fldCharType="end"/>
      </w:r>
    </w:p>
    <w:p w14:paraId="325094A9"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325094AA" w14:textId="77777777" w:rsidR="00A671E6" w:rsidRPr="00372E7D" w:rsidRDefault="00A671E6" w:rsidP="00A671E6">
      <w:pPr>
        <w:rPr>
          <w:szCs w:val="22"/>
        </w:rPr>
      </w:pPr>
    </w:p>
    <w:p w14:paraId="325094AB" w14:textId="0E75222D" w:rsidR="007A53BF" w:rsidRPr="00372E7D" w:rsidRDefault="007A53BF" w:rsidP="007A53BF">
      <w:pPr>
        <w:rPr>
          <w:szCs w:val="22"/>
        </w:rPr>
      </w:pPr>
      <w:r w:rsidRPr="00372E7D">
        <w:rPr>
          <w:szCs w:val="22"/>
        </w:rPr>
        <w:t xml:space="preserve">The following documents which informed the assessment of this Proposal are available on the FSANZ website at </w:t>
      </w:r>
      <w:hyperlink r:id="rId16" w:history="1">
        <w:r w:rsidR="00372E7D" w:rsidRPr="00F67ED5">
          <w:rPr>
            <w:rStyle w:val="Hyperlink"/>
            <w:szCs w:val="22"/>
          </w:rPr>
          <w:t>http://www.foodstandards.gov.au/code/proposals/Pages/P1039MicroReviewInfantFormula.aspx</w:t>
        </w:r>
      </w:hyperlink>
      <w:r w:rsidR="00372E7D">
        <w:rPr>
          <w:szCs w:val="22"/>
        </w:rPr>
        <w:t xml:space="preserve"> </w:t>
      </w:r>
      <w:r w:rsidR="00372E7D" w:rsidRPr="00372E7D">
        <w:rPr>
          <w:szCs w:val="22"/>
        </w:rPr>
        <w:t xml:space="preserve"> </w:t>
      </w:r>
    </w:p>
    <w:p w14:paraId="325094AC" w14:textId="77777777" w:rsidR="007A53BF" w:rsidRPr="0089264A" w:rsidRDefault="007A53BF" w:rsidP="007A53BF">
      <w:pPr>
        <w:rPr>
          <w:szCs w:val="22"/>
        </w:rPr>
      </w:pPr>
    </w:p>
    <w:p w14:paraId="5214B1F8" w14:textId="69DE0A94" w:rsidR="00372E7D" w:rsidRDefault="00372E7D" w:rsidP="00372E7D">
      <w:pPr>
        <w:ind w:left="1134" w:hanging="1134"/>
        <w:rPr>
          <w:bCs/>
          <w:iCs/>
        </w:rPr>
      </w:pPr>
      <w:r w:rsidRPr="00F35337">
        <w:t>SD1</w:t>
      </w:r>
      <w:r w:rsidRPr="00F35337">
        <w:tab/>
        <w:t>Scientific evidence informing the proposed m</w:t>
      </w:r>
      <w:r w:rsidRPr="00F35337">
        <w:rPr>
          <w:bCs/>
          <w:iCs/>
        </w:rPr>
        <w:t>icrobiological criteria for infant formula</w:t>
      </w:r>
      <w:r w:rsidR="00D42EAE">
        <w:rPr>
          <w:bCs/>
          <w:iCs/>
        </w:rPr>
        <w:t xml:space="preserve"> </w:t>
      </w:r>
    </w:p>
    <w:p w14:paraId="325094AE" w14:textId="5163887A" w:rsidR="003C4969" w:rsidRPr="00372E7D" w:rsidRDefault="00372E7D" w:rsidP="00372E7D">
      <w:pPr>
        <w:ind w:left="1134" w:hanging="1134"/>
        <w:rPr>
          <w:bCs/>
        </w:rPr>
      </w:pPr>
      <w:r w:rsidRPr="00F35337">
        <w:t>SD2</w:t>
      </w:r>
      <w:r w:rsidRPr="00F35337">
        <w:tab/>
      </w:r>
      <w:r>
        <w:t>P</w:t>
      </w:r>
      <w:r>
        <w:rPr>
          <w:bCs/>
        </w:rPr>
        <w:t>rocess hygiene c</w:t>
      </w:r>
      <w:r w:rsidRPr="00F35337">
        <w:rPr>
          <w:bCs/>
        </w:rPr>
        <w:t xml:space="preserve">riteria </w:t>
      </w:r>
      <w:r w:rsidR="00D42EAE">
        <w:rPr>
          <w:bCs/>
        </w:rPr>
        <w:t>(at Approval)</w:t>
      </w:r>
      <w:r w:rsidR="00D15A08" w:rsidRPr="00CA5734">
        <w:br w:type="page"/>
      </w:r>
    </w:p>
    <w:p w14:paraId="325094AF" w14:textId="77777777" w:rsidR="007A53BF" w:rsidRPr="007A53BF" w:rsidRDefault="007A53BF" w:rsidP="00CE59AA">
      <w:pPr>
        <w:pStyle w:val="Heading1"/>
      </w:pPr>
      <w:bookmarkStart w:id="1" w:name="_Toc286391001"/>
      <w:bookmarkStart w:id="2" w:name="_Toc300933414"/>
      <w:bookmarkStart w:id="3" w:name="_Toc370223463"/>
      <w:bookmarkStart w:id="4" w:name="_Toc440636823"/>
      <w:bookmarkStart w:id="5" w:name="_Toc11735627"/>
      <w:bookmarkStart w:id="6" w:name="_Toc29883110"/>
      <w:bookmarkStart w:id="7" w:name="_Toc41906797"/>
      <w:bookmarkStart w:id="8" w:name="_Toc41907544"/>
      <w:bookmarkStart w:id="9" w:name="_Toc120358575"/>
      <w:r w:rsidRPr="009574D6">
        <w:lastRenderedPageBreak/>
        <w:t>Executive summary</w:t>
      </w:r>
      <w:bookmarkEnd w:id="1"/>
      <w:bookmarkEnd w:id="2"/>
      <w:bookmarkEnd w:id="3"/>
      <w:bookmarkEnd w:id="4"/>
    </w:p>
    <w:p w14:paraId="70234E01" w14:textId="2E8EE621" w:rsidR="009574D6" w:rsidRPr="00BF70AB" w:rsidRDefault="00B830BE" w:rsidP="009574D6">
      <w:r w:rsidRPr="001E68AA">
        <w:t>The</w:t>
      </w:r>
      <w:r w:rsidRPr="001E68AA" w:rsidDel="00D427D6">
        <w:t xml:space="preserve"> </w:t>
      </w:r>
      <w:r w:rsidRPr="001E68AA">
        <w:t>microbiological limits in the</w:t>
      </w:r>
      <w:r>
        <w:t xml:space="preserve"> current</w:t>
      </w:r>
      <w:r w:rsidRPr="001E68AA">
        <w:t xml:space="preserve"> </w:t>
      </w:r>
      <w:r w:rsidRPr="001E68AA">
        <w:rPr>
          <w:i/>
        </w:rPr>
        <w:t>Australia New Zealand Food Standards Code</w:t>
      </w:r>
      <w:r w:rsidRPr="001E68AA">
        <w:t xml:space="preserve"> (the Code) and associated guidelines were developed before 2000. Since then, a preventative through-chain approach to food safety has evolved and work has progressed internationally to further inform our understanding of pathogen management in the food chain, including the management of ‘emerging’ pathogens. </w:t>
      </w:r>
      <w:r w:rsidR="009574D6" w:rsidRPr="00BF70AB">
        <w:t>FSANZ</w:t>
      </w:r>
      <w:r w:rsidR="009574D6">
        <w:t>’s</w:t>
      </w:r>
      <w:r w:rsidR="009574D6" w:rsidRPr="00BF70AB">
        <w:t xml:space="preserve"> </w:t>
      </w:r>
      <w:r w:rsidR="009574D6">
        <w:t xml:space="preserve">contemporary </w:t>
      </w:r>
      <w:r w:rsidR="009574D6" w:rsidRPr="00BF70AB">
        <w:t xml:space="preserve">risk management approach is </w:t>
      </w:r>
      <w:r w:rsidR="009574D6">
        <w:t>to establish</w:t>
      </w:r>
      <w:r w:rsidR="009574D6" w:rsidRPr="00BF70AB">
        <w:t xml:space="preserve"> microbiological criteria as either</w:t>
      </w:r>
      <w:r w:rsidR="009574D6">
        <w:t xml:space="preserve"> </w:t>
      </w:r>
      <w:r w:rsidR="009574D6" w:rsidRPr="00BF70AB">
        <w:rPr>
          <w:b/>
        </w:rPr>
        <w:t>food safety criteria</w:t>
      </w:r>
      <w:r w:rsidR="009574D6" w:rsidRPr="00BF70AB">
        <w:t xml:space="preserve"> </w:t>
      </w:r>
      <w:r w:rsidR="009574D6">
        <w:t xml:space="preserve">or </w:t>
      </w:r>
      <w:r w:rsidR="009574D6" w:rsidRPr="00BF70AB">
        <w:rPr>
          <w:b/>
        </w:rPr>
        <w:t>process hygiene criteria</w:t>
      </w:r>
      <w:r w:rsidR="009574D6">
        <w:rPr>
          <w:b/>
        </w:rPr>
        <w:t xml:space="preserve">. </w:t>
      </w:r>
    </w:p>
    <w:p w14:paraId="5D668020" w14:textId="77777777" w:rsidR="009574D6" w:rsidRDefault="009574D6" w:rsidP="00B830BE"/>
    <w:p w14:paraId="513B1ECE" w14:textId="77777777" w:rsidR="00B94D60" w:rsidRDefault="00B94D60" w:rsidP="00B94D60">
      <w:r w:rsidRPr="00EB6243">
        <w:t xml:space="preserve">In 2008, the Codex Committee on Food Hygiene (CCFH) revised the </w:t>
      </w:r>
      <w:r w:rsidRPr="00EB6243">
        <w:rPr>
          <w:i/>
        </w:rPr>
        <w:t xml:space="preserve">Code of </w:t>
      </w:r>
      <w:r>
        <w:rPr>
          <w:i/>
        </w:rPr>
        <w:t>H</w:t>
      </w:r>
      <w:r w:rsidRPr="00EB6243">
        <w:rPr>
          <w:i/>
        </w:rPr>
        <w:t xml:space="preserve">ygienic </w:t>
      </w:r>
      <w:r>
        <w:rPr>
          <w:i/>
        </w:rPr>
        <w:t>P</w:t>
      </w:r>
      <w:r w:rsidRPr="00EB6243">
        <w:rPr>
          <w:i/>
        </w:rPr>
        <w:t xml:space="preserve">ractice for </w:t>
      </w:r>
      <w:r>
        <w:rPr>
          <w:i/>
        </w:rPr>
        <w:t>P</w:t>
      </w:r>
      <w:r w:rsidRPr="00EB6243">
        <w:rPr>
          <w:i/>
        </w:rPr>
        <w:t xml:space="preserve">owdered </w:t>
      </w:r>
      <w:r>
        <w:rPr>
          <w:i/>
        </w:rPr>
        <w:t>I</w:t>
      </w:r>
      <w:r w:rsidRPr="00EB6243">
        <w:rPr>
          <w:i/>
        </w:rPr>
        <w:t xml:space="preserve">nfant formulae for </w:t>
      </w:r>
      <w:r>
        <w:rPr>
          <w:i/>
        </w:rPr>
        <w:t>I</w:t>
      </w:r>
      <w:r w:rsidRPr="00EB6243">
        <w:rPr>
          <w:i/>
        </w:rPr>
        <w:t xml:space="preserve">nfants and </w:t>
      </w:r>
      <w:r>
        <w:rPr>
          <w:i/>
        </w:rPr>
        <w:t>Y</w:t>
      </w:r>
      <w:r w:rsidRPr="00EB6243">
        <w:rPr>
          <w:i/>
        </w:rPr>
        <w:t xml:space="preserve">oung </w:t>
      </w:r>
      <w:r>
        <w:rPr>
          <w:i/>
        </w:rPr>
        <w:t>C</w:t>
      </w:r>
      <w:r w:rsidRPr="00EB6243">
        <w:rPr>
          <w:i/>
        </w:rPr>
        <w:t>hildren</w:t>
      </w:r>
      <w:r w:rsidRPr="00EB6243">
        <w:t xml:space="preserve"> </w:t>
      </w:r>
      <w:r w:rsidRPr="00EB6243">
        <w:rPr>
          <w:i/>
        </w:rPr>
        <w:t>(CAC/RCP 66 - 2008)</w:t>
      </w:r>
      <w:r w:rsidRPr="00EB6243">
        <w:t xml:space="preserve"> in response to the emergence of </w:t>
      </w:r>
      <w:proofErr w:type="spellStart"/>
      <w:r w:rsidRPr="00EB6243">
        <w:rPr>
          <w:i/>
        </w:rPr>
        <w:t>Cronobacter</w:t>
      </w:r>
      <w:proofErr w:type="spellEnd"/>
      <w:r w:rsidRPr="00EB6243">
        <w:t xml:space="preserve"> species (referred to as </w:t>
      </w:r>
      <w:r w:rsidRPr="00EB6243">
        <w:rPr>
          <w:i/>
        </w:rPr>
        <w:t xml:space="preserve">Enterobacter </w:t>
      </w:r>
      <w:proofErr w:type="spellStart"/>
      <w:r w:rsidRPr="00EB6243">
        <w:rPr>
          <w:i/>
        </w:rPr>
        <w:t>sakazakii</w:t>
      </w:r>
      <w:proofErr w:type="spellEnd"/>
      <w:r w:rsidRPr="00EB6243">
        <w:t xml:space="preserve"> prior to 2008) as an important pathogen for infants fed with powdered infant formula (PIF).</w:t>
      </w:r>
    </w:p>
    <w:p w14:paraId="59929F56" w14:textId="77777777" w:rsidR="009574D6" w:rsidRDefault="009574D6" w:rsidP="00B830BE"/>
    <w:p w14:paraId="54E67DB1" w14:textId="0CD277C5" w:rsidR="00B94D60" w:rsidRDefault="00D42EAE" w:rsidP="00B94D60">
      <w:pPr>
        <w:rPr>
          <w:lang w:eastAsia="en-GB" w:bidi="ar-SA"/>
        </w:rPr>
      </w:pPr>
      <w:r>
        <w:t xml:space="preserve">FSANZ has </w:t>
      </w:r>
      <w:r w:rsidR="008A2588">
        <w:t>approved a draft variation to</w:t>
      </w:r>
      <w:r>
        <w:t xml:space="preserve"> </w:t>
      </w:r>
      <w:r w:rsidR="00B94D60">
        <w:rPr>
          <w:rFonts w:eastAsia="Calibri" w:cs="Arial"/>
          <w:bCs/>
          <w:szCs w:val="22"/>
          <w:lang w:val="en-AU" w:bidi="ar-SA"/>
        </w:rPr>
        <w:t>align the</w:t>
      </w:r>
      <w:r w:rsidR="00B94D60" w:rsidRPr="00686E16">
        <w:rPr>
          <w:rFonts w:eastAsia="Calibri" w:cs="Arial"/>
          <w:bCs/>
          <w:szCs w:val="22"/>
          <w:lang w:val="en-AU" w:bidi="ar-SA"/>
        </w:rPr>
        <w:t xml:space="preserve"> food safety microbiological criteria for powdered infant formula products </w:t>
      </w:r>
      <w:r w:rsidR="008A2588">
        <w:rPr>
          <w:rFonts w:eastAsia="Calibri" w:cs="Arial"/>
          <w:bCs/>
          <w:szCs w:val="22"/>
          <w:lang w:val="en-AU" w:bidi="ar-SA"/>
        </w:rPr>
        <w:t xml:space="preserve">set by </w:t>
      </w:r>
      <w:r w:rsidR="008A2588" w:rsidRPr="0041193E">
        <w:rPr>
          <w:rFonts w:eastAsia="Calibri" w:cs="Arial"/>
          <w:bCs/>
          <w:szCs w:val="22"/>
          <w:lang w:val="en-AU" w:bidi="ar-SA"/>
        </w:rPr>
        <w:t>Standard</w:t>
      </w:r>
      <w:r w:rsidR="008A2588">
        <w:rPr>
          <w:rFonts w:eastAsia="Calibri" w:cs="Arial"/>
          <w:bCs/>
          <w:szCs w:val="22"/>
          <w:lang w:val="en-AU" w:bidi="ar-SA"/>
        </w:rPr>
        <w:t xml:space="preserve"> 1.1.2 and Schedule 27</w:t>
      </w:r>
      <w:r w:rsidR="008A2588" w:rsidRPr="00B94D60">
        <w:rPr>
          <w:rFonts w:eastAsia="Calibri" w:cs="Arial"/>
          <w:bCs/>
          <w:szCs w:val="22"/>
          <w:lang w:val="en-AU" w:bidi="ar-SA"/>
        </w:rPr>
        <w:t xml:space="preserve"> </w:t>
      </w:r>
      <w:r w:rsidR="00B94D60" w:rsidRPr="00686E16">
        <w:rPr>
          <w:rFonts w:eastAsia="Calibri" w:cs="Arial"/>
          <w:bCs/>
          <w:szCs w:val="22"/>
          <w:lang w:val="en-AU" w:bidi="ar-SA"/>
        </w:rPr>
        <w:t>with international (Codex) standards</w:t>
      </w:r>
      <w:r w:rsidR="00B94D60">
        <w:rPr>
          <w:rFonts w:eastAsia="Calibri" w:cs="Arial"/>
          <w:bCs/>
          <w:szCs w:val="22"/>
          <w:lang w:val="en-AU" w:bidi="ar-SA"/>
        </w:rPr>
        <w:t>.</w:t>
      </w:r>
      <w:r w:rsidR="00B94D60" w:rsidRPr="00686E16">
        <w:rPr>
          <w:lang w:eastAsia="en-GB" w:bidi="ar-SA"/>
        </w:rPr>
        <w:t xml:space="preserve"> </w:t>
      </w:r>
    </w:p>
    <w:p w14:paraId="6ACF9061" w14:textId="77777777" w:rsidR="009574D6" w:rsidRDefault="009574D6" w:rsidP="00B830BE"/>
    <w:p w14:paraId="340F6C04" w14:textId="7BBD6016" w:rsidR="00B94D60" w:rsidRDefault="00B94D60" w:rsidP="00B94D60">
      <w:r>
        <w:t>The</w:t>
      </w:r>
      <w:r w:rsidR="008A2588">
        <w:t xml:space="preserve"> approved draft</w:t>
      </w:r>
      <w:r>
        <w:t xml:space="preserve"> variation:</w:t>
      </w:r>
    </w:p>
    <w:p w14:paraId="4EAFAFF7" w14:textId="77777777" w:rsidR="00B94D60" w:rsidRDefault="00B94D60" w:rsidP="00B94D60"/>
    <w:p w14:paraId="44FE80C1" w14:textId="50835BB6" w:rsidR="00B94D60" w:rsidRDefault="00B94D60" w:rsidP="00B94D60">
      <w:pPr>
        <w:pStyle w:val="FSBullet1"/>
        <w:numPr>
          <w:ilvl w:val="0"/>
          <w:numId w:val="6"/>
        </w:numPr>
        <w:ind w:left="567" w:hanging="567"/>
      </w:pPr>
      <w:r>
        <w:t>separates the microbiological limits for powdered infant formula products in the table into two new food categories: powdered infant formula products and powdered follow-on formula</w:t>
      </w:r>
    </w:p>
    <w:p w14:paraId="729E46C6" w14:textId="77777777" w:rsidR="00B94D60" w:rsidRPr="00A11D2B" w:rsidRDefault="00B94D60" w:rsidP="00B94D60"/>
    <w:p w14:paraId="3D0E11E4" w14:textId="358362BF" w:rsidR="00B94D60" w:rsidRDefault="00B94D60" w:rsidP="00B94D60">
      <w:pPr>
        <w:pStyle w:val="FSBullet1"/>
        <w:numPr>
          <w:ilvl w:val="0"/>
          <w:numId w:val="6"/>
        </w:numPr>
        <w:ind w:left="567" w:hanging="567"/>
      </w:pPr>
      <w:r>
        <w:t>remove</w:t>
      </w:r>
      <w:r w:rsidR="00B31BDB">
        <w:t>s</w:t>
      </w:r>
      <w:r w:rsidR="00244F31">
        <w:t xml:space="preserve"> </w:t>
      </w:r>
      <w:r w:rsidRPr="00CF0C7A">
        <w:t xml:space="preserve">current limits specified </w:t>
      </w:r>
      <w:r>
        <w:t xml:space="preserve">in the table </w:t>
      </w:r>
      <w:r w:rsidRPr="00CF0C7A">
        <w:t>for Coliforms</w:t>
      </w:r>
      <w:r>
        <w:t xml:space="preserve">, </w:t>
      </w:r>
      <w:r w:rsidRPr="00CF0C7A">
        <w:t>Coagulase-positive staphylococci</w:t>
      </w:r>
      <w:r>
        <w:t xml:space="preserve">, </w:t>
      </w:r>
      <w:r w:rsidRPr="0091415F">
        <w:rPr>
          <w:i/>
        </w:rPr>
        <w:t>Bacillus cereus</w:t>
      </w:r>
      <w:r>
        <w:t xml:space="preserve"> and </w:t>
      </w:r>
      <w:r w:rsidRPr="00CF0C7A">
        <w:t xml:space="preserve">SPC in </w:t>
      </w:r>
      <w:r>
        <w:t>respect of these foods</w:t>
      </w:r>
    </w:p>
    <w:p w14:paraId="5FD12A53" w14:textId="77777777" w:rsidR="00B94D60" w:rsidRDefault="00B94D60" w:rsidP="00B94D60">
      <w:pPr>
        <w:pStyle w:val="FSBullet1"/>
        <w:numPr>
          <w:ilvl w:val="0"/>
          <w:numId w:val="0"/>
        </w:numPr>
        <w:ind w:left="567"/>
      </w:pPr>
    </w:p>
    <w:p w14:paraId="76518B77" w14:textId="0C6FF70E" w:rsidR="00B94D60" w:rsidRDefault="00B94D60" w:rsidP="00B94D60">
      <w:pPr>
        <w:pStyle w:val="FSBullet1"/>
        <w:numPr>
          <w:ilvl w:val="0"/>
          <w:numId w:val="6"/>
        </w:numPr>
        <w:ind w:left="567" w:hanging="567"/>
      </w:pPr>
      <w:r w:rsidRPr="00CF0C7A">
        <w:t>amend</w:t>
      </w:r>
      <w:r w:rsidR="00B31BDB">
        <w:t>s</w:t>
      </w:r>
      <w:r w:rsidRPr="00CF0C7A">
        <w:t xml:space="preserve"> the sampling plan for </w:t>
      </w:r>
      <w:r w:rsidRPr="0091415F">
        <w:rPr>
          <w:i/>
        </w:rPr>
        <w:t>Salmonella</w:t>
      </w:r>
      <w:r w:rsidRPr="00CF0C7A">
        <w:t xml:space="preserve"> in </w:t>
      </w:r>
      <w:r>
        <w:t>these foods</w:t>
      </w:r>
      <w:r w:rsidRPr="00CF0C7A">
        <w:t xml:space="preserve"> by repl</w:t>
      </w:r>
      <w:r>
        <w:t>acing 10 with 60 in Column 2(n) in the table</w:t>
      </w:r>
    </w:p>
    <w:p w14:paraId="316041DA" w14:textId="77777777" w:rsidR="00B94D60" w:rsidRPr="00CF0C7A" w:rsidRDefault="00B94D60" w:rsidP="00B94D60">
      <w:pPr>
        <w:pStyle w:val="FSBullet1"/>
        <w:numPr>
          <w:ilvl w:val="0"/>
          <w:numId w:val="0"/>
        </w:numPr>
        <w:ind w:left="567"/>
      </w:pPr>
    </w:p>
    <w:p w14:paraId="54CB1825" w14:textId="3E659A5E" w:rsidR="00B94D60" w:rsidRDefault="00B94D60" w:rsidP="00B94D60">
      <w:pPr>
        <w:pStyle w:val="FSBullet1"/>
        <w:numPr>
          <w:ilvl w:val="0"/>
          <w:numId w:val="6"/>
        </w:numPr>
        <w:ind w:left="567" w:hanging="567"/>
      </w:pPr>
      <w:r>
        <w:t>insert</w:t>
      </w:r>
      <w:r w:rsidR="00B31BDB">
        <w:t>s</w:t>
      </w:r>
      <w:r>
        <w:t xml:space="preserve"> new</w:t>
      </w:r>
      <w:r w:rsidRPr="00CF0C7A">
        <w:t xml:space="preserve"> limits for </w:t>
      </w:r>
      <w:proofErr w:type="spellStart"/>
      <w:r w:rsidRPr="0091415F">
        <w:rPr>
          <w:i/>
        </w:rPr>
        <w:t>Cronobacter</w:t>
      </w:r>
      <w:proofErr w:type="spellEnd"/>
      <w:r w:rsidRPr="00CF0C7A">
        <w:t xml:space="preserve"> in powdered infant formula</w:t>
      </w:r>
      <w:r>
        <w:t xml:space="preserve"> products, </w:t>
      </w:r>
      <w:r w:rsidRPr="00CF0C7A">
        <w:t>where</w:t>
      </w:r>
      <w:r>
        <w:t xml:space="preserve"> the number of sample units (n) is 3</w:t>
      </w:r>
      <w:r w:rsidRPr="00CF0C7A">
        <w:t>0,</w:t>
      </w:r>
      <w:r>
        <w:t xml:space="preserve"> the acceptable microbiological limit (m) </w:t>
      </w:r>
      <w:r w:rsidRPr="00CF0C7A">
        <w:t xml:space="preserve">is </w:t>
      </w:r>
      <w:r>
        <w:t>‘</w:t>
      </w:r>
      <w:r w:rsidRPr="00CF0C7A">
        <w:t>not dete</w:t>
      </w:r>
      <w:r>
        <w:t>cted in 10g’, and</w:t>
      </w:r>
      <w:r w:rsidRPr="00CF0C7A">
        <w:t xml:space="preserve"> </w:t>
      </w:r>
      <w:r>
        <w:t>the number of sample units allowed to exceed that acceptable microbiological limit (c)</w:t>
      </w:r>
      <w:r w:rsidRPr="00CF0C7A">
        <w:t xml:space="preserve"> is 0</w:t>
      </w:r>
      <w:r>
        <w:t xml:space="preserve">. </w:t>
      </w:r>
      <w:r w:rsidRPr="00CF0C7A">
        <w:t>These limits do</w:t>
      </w:r>
      <w:r>
        <w:t xml:space="preserve"> not apply to powdered follow-on formula</w:t>
      </w:r>
      <w:r w:rsidRPr="00CF0C7A">
        <w:t>.</w:t>
      </w:r>
    </w:p>
    <w:p w14:paraId="0E6A1604" w14:textId="77777777" w:rsidR="00B94D60" w:rsidRDefault="00B94D60" w:rsidP="00B94D60"/>
    <w:p w14:paraId="387321D8" w14:textId="58475BD1" w:rsidR="00A66C4C" w:rsidRDefault="00A66C4C" w:rsidP="00A66C4C">
      <w:r>
        <w:t xml:space="preserve">The </w:t>
      </w:r>
      <w:r w:rsidR="008A2588">
        <w:t>approved draft variation also makes consequential amendments to Standard 1.1.2.</w:t>
      </w:r>
    </w:p>
    <w:p w14:paraId="77C0966B" w14:textId="77777777" w:rsidR="00B94D60" w:rsidRDefault="00B94D60" w:rsidP="00A66C4C"/>
    <w:p w14:paraId="63E1D161" w14:textId="07674501" w:rsidR="00B94D60" w:rsidRPr="00B31BDB" w:rsidRDefault="00A66C4C" w:rsidP="00A66C4C">
      <w:pPr>
        <w:rPr>
          <w:rFonts w:cs="Arial"/>
          <w:bCs/>
          <w:color w:val="000000" w:themeColor="text1"/>
          <w:lang w:eastAsia="en-AU" w:bidi="ar-SA"/>
        </w:rPr>
      </w:pPr>
      <w:r>
        <w:t xml:space="preserve">Process hygiene criteria have also been developed for </w:t>
      </w:r>
      <w:proofErr w:type="spellStart"/>
      <w:r>
        <w:t>Enterobacteriacea</w:t>
      </w:r>
      <w:proofErr w:type="spellEnd"/>
      <w:r>
        <w:t xml:space="preserve"> and Mesophilic Aerobic Bacteria in powdered infant formula that can be</w:t>
      </w:r>
      <w:r w:rsidRPr="000321F4">
        <w:rPr>
          <w:szCs w:val="20"/>
        </w:rPr>
        <w:t xml:space="preserve"> </w:t>
      </w:r>
      <w:r w:rsidRPr="005F640E">
        <w:rPr>
          <w:szCs w:val="20"/>
        </w:rPr>
        <w:t>u</w:t>
      </w:r>
      <w:r w:rsidR="002A1F5E">
        <w:rPr>
          <w:szCs w:val="20"/>
        </w:rPr>
        <w:t>sed</w:t>
      </w:r>
      <w:r>
        <w:rPr>
          <w:szCs w:val="20"/>
        </w:rPr>
        <w:t xml:space="preserve"> for</w:t>
      </w:r>
      <w:r w:rsidRPr="005F640E">
        <w:rPr>
          <w:szCs w:val="20"/>
        </w:rPr>
        <w:t xml:space="preserve"> routine m</w:t>
      </w:r>
      <w:r w:rsidRPr="005F640E">
        <w:t>icrobiological s</w:t>
      </w:r>
      <w:r w:rsidRPr="005F640E">
        <w:rPr>
          <w:szCs w:val="20"/>
        </w:rPr>
        <w:t>ampling and testing as part of monitoring and verification of the food safety con</w:t>
      </w:r>
      <w:r>
        <w:rPr>
          <w:szCs w:val="20"/>
        </w:rPr>
        <w:t>trol system they have in place</w:t>
      </w:r>
      <w:r w:rsidR="00B94D60">
        <w:rPr>
          <w:szCs w:val="20"/>
        </w:rPr>
        <w:t xml:space="preserve">. These are not food safety criteria and therefore </w:t>
      </w:r>
      <w:r w:rsidR="002A1F5E">
        <w:rPr>
          <w:szCs w:val="20"/>
        </w:rPr>
        <w:t xml:space="preserve">are </w:t>
      </w:r>
      <w:r w:rsidR="006F00CB">
        <w:rPr>
          <w:szCs w:val="20"/>
        </w:rPr>
        <w:t xml:space="preserve">proposed to be </w:t>
      </w:r>
      <w:r w:rsidR="002A1F5E">
        <w:rPr>
          <w:szCs w:val="20"/>
        </w:rPr>
        <w:t xml:space="preserve">contained in </w:t>
      </w:r>
      <w:r w:rsidR="00B94D60">
        <w:rPr>
          <w:szCs w:val="20"/>
        </w:rPr>
        <w:t xml:space="preserve">the </w:t>
      </w:r>
      <w:r w:rsidRPr="005F640E">
        <w:rPr>
          <w:szCs w:val="20"/>
        </w:rPr>
        <w:t>guidance document</w:t>
      </w:r>
      <w:r>
        <w:rPr>
          <w:szCs w:val="20"/>
        </w:rPr>
        <w:t xml:space="preserve"> </w:t>
      </w:r>
      <w:r w:rsidRPr="005F640E">
        <w:rPr>
          <w:rFonts w:cs="Arial"/>
          <w:bCs/>
          <w:i/>
          <w:color w:val="000000" w:themeColor="text1"/>
          <w:lang w:eastAsia="en-AU" w:bidi="ar-SA"/>
        </w:rPr>
        <w:t>Compendium of Microbiological Criteria for Food</w:t>
      </w:r>
      <w:r w:rsidR="002A1F5E">
        <w:rPr>
          <w:rFonts w:cs="Arial"/>
          <w:bCs/>
          <w:i/>
          <w:color w:val="000000" w:themeColor="text1"/>
          <w:lang w:eastAsia="en-AU" w:bidi="ar-SA"/>
        </w:rPr>
        <w:t xml:space="preserve"> </w:t>
      </w:r>
      <w:r w:rsidR="002A1F5E" w:rsidRPr="00B31BDB">
        <w:rPr>
          <w:rFonts w:cs="Arial"/>
          <w:bCs/>
          <w:color w:val="000000" w:themeColor="text1"/>
          <w:lang w:eastAsia="en-AU" w:bidi="ar-SA"/>
        </w:rPr>
        <w:t xml:space="preserve">rather than the Code. </w:t>
      </w:r>
    </w:p>
    <w:p w14:paraId="726F3351" w14:textId="0130AFC0" w:rsidR="008A553F" w:rsidRPr="009776D2" w:rsidRDefault="008A553F" w:rsidP="008A553F"/>
    <w:p w14:paraId="1581D816" w14:textId="54607D05" w:rsidR="00BC626A" w:rsidRDefault="00BC626A">
      <w:pPr>
        <w:widowControl/>
      </w:pPr>
      <w:r>
        <w:br w:type="page"/>
      </w:r>
    </w:p>
    <w:p w14:paraId="325094B4" w14:textId="77777777" w:rsidR="007A53BF" w:rsidRPr="007A53BF" w:rsidRDefault="007A53BF" w:rsidP="00CE59AA">
      <w:pPr>
        <w:pStyle w:val="Heading1"/>
      </w:pPr>
      <w:bookmarkStart w:id="10" w:name="_Toc300933417"/>
      <w:bookmarkStart w:id="11" w:name="_Toc370223464"/>
      <w:bookmarkStart w:id="12" w:name="_Toc440636824"/>
      <w:r w:rsidRPr="007A53BF">
        <w:lastRenderedPageBreak/>
        <w:t>1</w:t>
      </w:r>
      <w:r w:rsidRPr="007A53BF">
        <w:tab/>
        <w:t>Introduction</w:t>
      </w:r>
      <w:bookmarkEnd w:id="10"/>
      <w:bookmarkEnd w:id="11"/>
      <w:bookmarkEnd w:id="12"/>
    </w:p>
    <w:p w14:paraId="325094B7" w14:textId="2B534F7E" w:rsidR="007A53BF" w:rsidRPr="007A53BF" w:rsidRDefault="00A755E9" w:rsidP="00CE59AA">
      <w:pPr>
        <w:pStyle w:val="Heading2"/>
      </w:pPr>
      <w:bookmarkStart w:id="13" w:name="_Toc300761891"/>
      <w:bookmarkStart w:id="14" w:name="_Toc300933420"/>
      <w:bookmarkStart w:id="15" w:name="_Toc370223466"/>
      <w:bookmarkStart w:id="16" w:name="_Toc440636825"/>
      <w:r>
        <w:t>1.1</w:t>
      </w:r>
      <w:r w:rsidR="007A53BF" w:rsidRPr="007A53BF">
        <w:tab/>
      </w:r>
      <w:r w:rsidR="007A53BF" w:rsidRPr="00A755E9">
        <w:t xml:space="preserve">The </w:t>
      </w:r>
      <w:bookmarkEnd w:id="13"/>
      <w:r w:rsidR="007A53BF" w:rsidRPr="00A755E9">
        <w:t>Proposal</w:t>
      </w:r>
      <w:bookmarkEnd w:id="14"/>
      <w:bookmarkEnd w:id="15"/>
      <w:bookmarkEnd w:id="16"/>
    </w:p>
    <w:p w14:paraId="0EB90A4E" w14:textId="45587322" w:rsidR="009776D2" w:rsidRDefault="009776D2" w:rsidP="009776D2">
      <w:bookmarkStart w:id="17" w:name="_Toc300761892"/>
      <w:bookmarkStart w:id="18" w:name="_Toc300933421"/>
      <w:bookmarkStart w:id="19" w:name="_Toc370223467"/>
      <w:r w:rsidRPr="001E68AA">
        <w:t xml:space="preserve">The existing microbiological </w:t>
      </w:r>
      <w:r>
        <w:t xml:space="preserve">limits in the </w:t>
      </w:r>
      <w:r w:rsidR="008A2588" w:rsidRPr="0098718E">
        <w:t>Code</w:t>
      </w:r>
      <w:r>
        <w:t xml:space="preserve"> </w:t>
      </w:r>
      <w:r w:rsidRPr="001E68AA">
        <w:t xml:space="preserve">and associated guidelines were developed before 2000. Since then, a preventative through-chain approach to food safety has evolved and work has progressed internationally </w:t>
      </w:r>
      <w:r>
        <w:t xml:space="preserve">through </w:t>
      </w:r>
      <w:r w:rsidR="00BC626A">
        <w:t xml:space="preserve">the </w:t>
      </w:r>
      <w:r>
        <w:t xml:space="preserve">Codex Alimentarius (Codex) </w:t>
      </w:r>
      <w:r w:rsidRPr="001E68AA">
        <w:t xml:space="preserve">to further inform our understanding of pathogen management in the food chain, including the management of ‘emerging’ pathogens. </w:t>
      </w:r>
    </w:p>
    <w:p w14:paraId="6BCD1C23" w14:textId="77777777" w:rsidR="009776D2" w:rsidRDefault="009776D2" w:rsidP="009776D2"/>
    <w:p w14:paraId="1B3FF09B" w14:textId="75A63F07" w:rsidR="009776D2" w:rsidRDefault="009776D2" w:rsidP="009776D2">
      <w:r>
        <w:t xml:space="preserve">Proposal P1039 </w:t>
      </w:r>
      <w:r w:rsidR="00BC626A">
        <w:t>was</w:t>
      </w:r>
      <w:r>
        <w:t xml:space="preserve"> prepared to</w:t>
      </w:r>
      <w:r w:rsidRPr="001E68AA">
        <w:t xml:space="preserve"> </w:t>
      </w:r>
      <w:r>
        <w:t>review</w:t>
      </w:r>
      <w:r w:rsidRPr="001E68AA">
        <w:t xml:space="preserve"> microbiological limits </w:t>
      </w:r>
      <w:r w:rsidR="00CC44B1">
        <w:t>set by</w:t>
      </w:r>
      <w:r w:rsidR="00CC44B1" w:rsidRPr="001E68AA">
        <w:t xml:space="preserve"> </w:t>
      </w:r>
      <w:r w:rsidRPr="001E68AA">
        <w:t xml:space="preserve">Standard 1.6.1 </w:t>
      </w:r>
      <w:r>
        <w:t>and Schedule 27</w:t>
      </w:r>
      <w:r w:rsidRPr="001E68AA">
        <w:t xml:space="preserve">. </w:t>
      </w:r>
      <w:r>
        <w:t>FSANZ consulted on the principles underpinning the second stage of the review of microbiological criteria in early 2015</w:t>
      </w:r>
      <w:r>
        <w:rPr>
          <w:rStyle w:val="FootnoteReference"/>
        </w:rPr>
        <w:footnoteReference w:id="2"/>
      </w:r>
      <w:r>
        <w:t xml:space="preserve"> </w:t>
      </w:r>
      <w:r w:rsidR="00026923">
        <w:t xml:space="preserve">and on the proposed draft variation in </w:t>
      </w:r>
      <w:r w:rsidR="00500420">
        <w:t>October</w:t>
      </w:r>
      <w:r w:rsidR="00026923">
        <w:t xml:space="preserve"> 2015</w:t>
      </w:r>
      <w:r w:rsidR="00500420">
        <w:rPr>
          <w:rStyle w:val="FootnoteReference"/>
        </w:rPr>
        <w:footnoteReference w:id="3"/>
      </w:r>
      <w:r w:rsidR="00026923">
        <w:t>. T</w:t>
      </w:r>
      <w:r>
        <w:t>he resulting submissions have informed our work on this Proposal.</w:t>
      </w:r>
    </w:p>
    <w:p w14:paraId="325094B9" w14:textId="7BDCAFB7" w:rsidR="007A53BF" w:rsidRPr="007A53BF" w:rsidRDefault="00A755E9" w:rsidP="00CE59AA">
      <w:pPr>
        <w:pStyle w:val="Heading2"/>
      </w:pPr>
      <w:bookmarkStart w:id="20" w:name="_Toc440636826"/>
      <w:r>
        <w:t>1.2</w:t>
      </w:r>
      <w:r w:rsidR="007A53BF" w:rsidRPr="007A53BF">
        <w:tab/>
        <w:t>The current Standard</w:t>
      </w:r>
      <w:bookmarkEnd w:id="17"/>
      <w:bookmarkEnd w:id="18"/>
      <w:bookmarkEnd w:id="19"/>
      <w:bookmarkEnd w:id="20"/>
    </w:p>
    <w:p w14:paraId="278A3C73" w14:textId="0EB30B3D" w:rsidR="009776D2" w:rsidRDefault="009776D2" w:rsidP="009776D2">
      <w:pPr>
        <w:rPr>
          <w:szCs w:val="20"/>
        </w:rPr>
      </w:pPr>
      <w:bookmarkStart w:id="21" w:name="_Toc286391007"/>
      <w:bookmarkStart w:id="22" w:name="_Toc300933423"/>
      <w:bookmarkStart w:id="23" w:name="_Toc370223468"/>
      <w:bookmarkStart w:id="24" w:name="_Toc175381432"/>
      <w:r w:rsidRPr="001E68AA">
        <w:t>T</w:t>
      </w:r>
      <w:r w:rsidRPr="001E68AA">
        <w:rPr>
          <w:szCs w:val="20"/>
        </w:rPr>
        <w:t xml:space="preserve">he current infant formula </w:t>
      </w:r>
      <w:r w:rsidR="00556919">
        <w:rPr>
          <w:szCs w:val="20"/>
        </w:rPr>
        <w:t xml:space="preserve">microbiological </w:t>
      </w:r>
      <w:r w:rsidRPr="001E68AA">
        <w:rPr>
          <w:szCs w:val="20"/>
        </w:rPr>
        <w:t>limits in Schedule 27 do not reflect recent scientific knowledge and approaches to food safety (</w:t>
      </w:r>
      <w:r>
        <w:rPr>
          <w:szCs w:val="20"/>
        </w:rPr>
        <w:t xml:space="preserve">i.e. they are </w:t>
      </w:r>
      <w:r w:rsidRPr="001E68AA">
        <w:rPr>
          <w:szCs w:val="20"/>
        </w:rPr>
        <w:t>not fit for purpose)</w:t>
      </w:r>
      <w:r>
        <w:rPr>
          <w:szCs w:val="20"/>
        </w:rPr>
        <w:t xml:space="preserve"> because</w:t>
      </w:r>
      <w:r w:rsidRPr="001E68AA">
        <w:rPr>
          <w:szCs w:val="20"/>
        </w:rPr>
        <w:t>:</w:t>
      </w:r>
    </w:p>
    <w:p w14:paraId="7D3DBCC0" w14:textId="77777777" w:rsidR="009776D2" w:rsidRPr="001E68AA" w:rsidRDefault="009776D2" w:rsidP="009776D2">
      <w:pPr>
        <w:rPr>
          <w:szCs w:val="20"/>
        </w:rPr>
      </w:pPr>
      <w:r w:rsidRPr="001E68AA">
        <w:rPr>
          <w:szCs w:val="20"/>
        </w:rPr>
        <w:t xml:space="preserve"> </w:t>
      </w:r>
    </w:p>
    <w:p w14:paraId="447EFBB3" w14:textId="77777777" w:rsidR="009776D2" w:rsidRPr="001E68AA" w:rsidRDefault="009776D2" w:rsidP="005C640C">
      <w:pPr>
        <w:pStyle w:val="FSBullet1"/>
        <w:numPr>
          <w:ilvl w:val="0"/>
          <w:numId w:val="6"/>
        </w:numPr>
        <w:ind w:left="567" w:hanging="567"/>
      </w:pPr>
      <w:r>
        <w:t>t</w:t>
      </w:r>
      <w:r w:rsidRPr="001E68AA">
        <w:t xml:space="preserve">he limits are out of step with more recent international risk assessment work and microbiological criteria developed by Codex for powdered infant formula for the pathogens </w:t>
      </w:r>
      <w:proofErr w:type="spellStart"/>
      <w:r w:rsidRPr="001E68AA">
        <w:rPr>
          <w:i/>
        </w:rPr>
        <w:t>Cronobacter</w:t>
      </w:r>
      <w:proofErr w:type="spellEnd"/>
      <w:r w:rsidRPr="001E68AA">
        <w:rPr>
          <w:i/>
        </w:rPr>
        <w:t xml:space="preserve"> </w:t>
      </w:r>
      <w:r w:rsidRPr="001E68AA">
        <w:t xml:space="preserve">species and </w:t>
      </w:r>
      <w:r w:rsidRPr="001E68AA">
        <w:rPr>
          <w:i/>
        </w:rPr>
        <w:t>Salmonella</w:t>
      </w:r>
    </w:p>
    <w:p w14:paraId="568AD5B9" w14:textId="77777777" w:rsidR="009776D2" w:rsidRPr="001E68AA" w:rsidRDefault="009776D2" w:rsidP="005C640C">
      <w:pPr>
        <w:pStyle w:val="FSBullet1"/>
        <w:numPr>
          <w:ilvl w:val="0"/>
          <w:numId w:val="6"/>
        </w:numPr>
        <w:ind w:left="567" w:hanging="567"/>
      </w:pPr>
      <w:r>
        <w:t>l</w:t>
      </w:r>
      <w:r w:rsidRPr="001E68AA">
        <w:t>imits are included for indicator tests that are not appropriate as pass/fail criteria for a lot of food</w:t>
      </w:r>
    </w:p>
    <w:p w14:paraId="2F7AE118" w14:textId="5E14C78D" w:rsidR="001F05E0" w:rsidRDefault="009776D2" w:rsidP="001F05E0">
      <w:pPr>
        <w:pStyle w:val="FSBullet1"/>
        <w:numPr>
          <w:ilvl w:val="0"/>
          <w:numId w:val="6"/>
        </w:numPr>
        <w:ind w:left="567" w:hanging="567"/>
      </w:pPr>
      <w:proofErr w:type="gramStart"/>
      <w:r>
        <w:t>l</w:t>
      </w:r>
      <w:r w:rsidRPr="001E68AA">
        <w:t>imits</w:t>
      </w:r>
      <w:proofErr w:type="gramEnd"/>
      <w:r w:rsidRPr="001E68AA">
        <w:t xml:space="preserve"> are included for pathogens which do not represent a direct threat to the health of infants</w:t>
      </w:r>
      <w:r>
        <w:t>.</w:t>
      </w:r>
    </w:p>
    <w:p w14:paraId="7FF8EA25" w14:textId="1DF698D3" w:rsidR="001F05E0" w:rsidRDefault="007B5ABE" w:rsidP="007B5ABE">
      <w:pPr>
        <w:pStyle w:val="Heading3"/>
      </w:pPr>
      <w:bookmarkStart w:id="25" w:name="_Toc440636827"/>
      <w:r>
        <w:t>1.2.1</w:t>
      </w:r>
      <w:r>
        <w:tab/>
      </w:r>
      <w:r w:rsidR="001F05E0">
        <w:t>Other relevant standards</w:t>
      </w:r>
      <w:bookmarkEnd w:id="25"/>
    </w:p>
    <w:p w14:paraId="7F573CD0" w14:textId="19C5EFB9" w:rsidR="00CC44B1" w:rsidRDefault="00CC44B1" w:rsidP="001F05E0">
      <w:r>
        <w:t>Standard 1.1.2 defines certain terms that are used throughout the Code, including in Standard 1.6.1 and Schedule 27.</w:t>
      </w:r>
    </w:p>
    <w:p w14:paraId="316D146A" w14:textId="77777777" w:rsidR="00CC44B1" w:rsidRDefault="00CC44B1" w:rsidP="001F05E0"/>
    <w:p w14:paraId="34F46B5E" w14:textId="540C9CB2" w:rsidR="001F05E0" w:rsidRPr="00D9376E" w:rsidRDefault="00CC44B1" w:rsidP="001F05E0">
      <w:r>
        <w:t xml:space="preserve">Standard </w:t>
      </w:r>
      <w:r w:rsidR="006F00CB">
        <w:t xml:space="preserve">1.1.2 </w:t>
      </w:r>
      <w:r>
        <w:t xml:space="preserve">contains </w:t>
      </w:r>
      <w:r w:rsidR="006F00CB">
        <w:t>the</w:t>
      </w:r>
      <w:r>
        <w:t xml:space="preserve"> </w:t>
      </w:r>
      <w:r w:rsidR="001F05E0" w:rsidRPr="00142CE5">
        <w:t>definition of</w:t>
      </w:r>
      <w:r>
        <w:t xml:space="preserve"> the term</w:t>
      </w:r>
      <w:r w:rsidR="001F05E0" w:rsidRPr="00142CE5">
        <w:t xml:space="preserve"> ‘infant formula product</w:t>
      </w:r>
      <w:r w:rsidR="0079587B">
        <w:t>’</w:t>
      </w:r>
      <w:r w:rsidR="001F05E0" w:rsidRPr="00D9376E">
        <w:t xml:space="preserve">. </w:t>
      </w:r>
      <w:r w:rsidR="0079587B">
        <w:t>Standard 2.9.1 contains definitions for infant formula and follow-on-formula.</w:t>
      </w:r>
    </w:p>
    <w:p w14:paraId="1FC7BC43" w14:textId="77777777" w:rsidR="001F05E0" w:rsidRPr="00D9376E" w:rsidRDefault="001F05E0" w:rsidP="001F05E0"/>
    <w:p w14:paraId="32E540D5" w14:textId="7FD8E40A" w:rsidR="001F05E0" w:rsidRPr="00D9376E" w:rsidRDefault="001F05E0" w:rsidP="001F05E0">
      <w:pPr>
        <w:widowControl/>
      </w:pPr>
      <w:r w:rsidRPr="00D9376E">
        <w:t xml:space="preserve">Infant </w:t>
      </w:r>
      <w:r w:rsidR="007B5ABE" w:rsidRPr="00D9376E">
        <w:t>formula is defined in the</w:t>
      </w:r>
      <w:r w:rsidRPr="00D9376E">
        <w:t xml:space="preserve"> Code as: </w:t>
      </w:r>
      <w:r w:rsidR="009A6082">
        <w:t>“</w:t>
      </w:r>
      <w:r w:rsidRPr="009A6082">
        <w:t>an infant formula product represented as a breast milk substitute for infants which satisfies the nutritional requirements of infants aged up to four to six months</w:t>
      </w:r>
      <w:r w:rsidR="009A6082">
        <w:t>”</w:t>
      </w:r>
      <w:r w:rsidRPr="00D9376E">
        <w:rPr>
          <w:i/>
        </w:rPr>
        <w:t>.</w:t>
      </w:r>
      <w:r w:rsidRPr="00D9376E">
        <w:t xml:space="preserve"> </w:t>
      </w:r>
      <w:r w:rsidR="0079587B">
        <w:t>Follow-on-formula is defined in the Code as</w:t>
      </w:r>
      <w:r w:rsidR="00026E8E">
        <w:t>:</w:t>
      </w:r>
      <w:r w:rsidR="0079587B">
        <w:t xml:space="preserve"> </w:t>
      </w:r>
      <w:r w:rsidR="00C301B3">
        <w:t>“an infant formula product that…</w:t>
      </w:r>
      <w:r w:rsidR="0079587B">
        <w:t xml:space="preserve">is suitable to constitute the principle liquid source of nourishment in a progressively diversified diet for infants from the age of 6 months”.  </w:t>
      </w:r>
    </w:p>
    <w:p w14:paraId="1FF4EEAB" w14:textId="77777777" w:rsidR="001F05E0" w:rsidRPr="00D9376E" w:rsidRDefault="001F05E0" w:rsidP="001F05E0"/>
    <w:p w14:paraId="7DB01C38" w14:textId="30F0639D" w:rsidR="00C301B3" w:rsidRDefault="00D9376E" w:rsidP="00D9376E">
      <w:pPr>
        <w:rPr>
          <w:lang w:val="en-AU"/>
        </w:rPr>
      </w:pPr>
      <w:r w:rsidRPr="00D9376E">
        <w:t xml:space="preserve">Standard </w:t>
      </w:r>
      <w:r w:rsidR="001F05E0" w:rsidRPr="00D9376E">
        <w:t>2.9.1 and S</w:t>
      </w:r>
      <w:r w:rsidR="00BC626A">
        <w:t xml:space="preserve">chedule </w:t>
      </w:r>
      <w:r w:rsidR="001F05E0" w:rsidRPr="00D9376E">
        <w:t>29 specifica</w:t>
      </w:r>
      <w:r w:rsidR="007B5ABE" w:rsidRPr="00D9376E">
        <w:t>lly regulate the compositional</w:t>
      </w:r>
      <w:r w:rsidRPr="00D9376E">
        <w:t xml:space="preserve"> a</w:t>
      </w:r>
      <w:r w:rsidR="001F05E0" w:rsidRPr="00D9376E">
        <w:t>nd labelling requirements for infant formula (and other infant formula products)</w:t>
      </w:r>
      <w:r w:rsidR="00F25231">
        <w:t>, including directions for preparation and use</w:t>
      </w:r>
      <w:r w:rsidR="001F05E0" w:rsidRPr="00D9376E">
        <w:t xml:space="preserve">. The Standard applies to all infant formula whether in powder, liquid concentrate or ‘ready-to-drink’ forms. </w:t>
      </w:r>
      <w:r w:rsidR="001F05E0" w:rsidRPr="00D9376E">
        <w:rPr>
          <w:lang w:val="en-AU"/>
        </w:rPr>
        <w:t>Standard 2.9.1 is the most prescriptive of all standards in the Code</w:t>
      </w:r>
      <w:r w:rsidR="001F05E0" w:rsidRPr="00D9376E">
        <w:rPr>
          <w:i/>
          <w:lang w:val="en-AU"/>
        </w:rPr>
        <w:t xml:space="preserve"> </w:t>
      </w:r>
      <w:r w:rsidR="001F05E0" w:rsidRPr="00D9376E">
        <w:rPr>
          <w:lang w:val="en-AU"/>
        </w:rPr>
        <w:t xml:space="preserve">that regulate a food category. </w:t>
      </w:r>
      <w:r w:rsidR="00C301B3">
        <w:rPr>
          <w:lang w:val="en-AU"/>
        </w:rPr>
        <w:br w:type="page"/>
      </w:r>
    </w:p>
    <w:p w14:paraId="325094BD" w14:textId="72D4C832" w:rsidR="007A53BF" w:rsidRPr="007A53BF" w:rsidRDefault="007A53BF" w:rsidP="00CE59AA">
      <w:pPr>
        <w:pStyle w:val="Heading2"/>
        <w:rPr>
          <w:u w:color="FFFF00"/>
        </w:rPr>
      </w:pPr>
      <w:bookmarkStart w:id="26" w:name="_Toc440636828"/>
      <w:r w:rsidRPr="007A53BF">
        <w:rPr>
          <w:u w:color="FFFF00"/>
        </w:rPr>
        <w:lastRenderedPageBreak/>
        <w:t>1.</w:t>
      </w:r>
      <w:r w:rsidR="00A755E9">
        <w:rPr>
          <w:u w:color="FFFF00"/>
        </w:rPr>
        <w:t>3</w:t>
      </w:r>
      <w:r w:rsidRPr="007A53BF">
        <w:rPr>
          <w:u w:color="FFFF00"/>
        </w:rPr>
        <w:tab/>
      </w:r>
      <w:r w:rsidRPr="00A755E9">
        <w:rPr>
          <w:u w:color="FFFF00"/>
        </w:rPr>
        <w:t xml:space="preserve">Reasons for </w:t>
      </w:r>
      <w:bookmarkEnd w:id="21"/>
      <w:bookmarkEnd w:id="22"/>
      <w:r w:rsidRPr="00A755E9">
        <w:t>preparing Proposal</w:t>
      </w:r>
      <w:bookmarkEnd w:id="23"/>
      <w:bookmarkEnd w:id="26"/>
    </w:p>
    <w:p w14:paraId="4044A8E3" w14:textId="7E0E769A" w:rsidR="009776D2" w:rsidRDefault="009776D2" w:rsidP="009776D2">
      <w:bookmarkStart w:id="27" w:name="_Toc370223469"/>
      <w:bookmarkEnd w:id="24"/>
      <w:r w:rsidRPr="001E68AA">
        <w:t xml:space="preserve">P1039 </w:t>
      </w:r>
      <w:r>
        <w:t>was prepared</w:t>
      </w:r>
      <w:r w:rsidRPr="001E68AA">
        <w:t xml:space="preserve"> to amend the Code to include food safety microbiological criteria for powdered infant formula products, aligning with</w:t>
      </w:r>
      <w:r>
        <w:t>:</w:t>
      </w:r>
    </w:p>
    <w:p w14:paraId="250FD12D" w14:textId="77777777" w:rsidR="009776D2" w:rsidRDefault="009776D2" w:rsidP="009776D2"/>
    <w:p w14:paraId="6AD8747A" w14:textId="77777777" w:rsidR="009776D2" w:rsidRDefault="009776D2" w:rsidP="005C640C">
      <w:pPr>
        <w:pStyle w:val="FSBullet1"/>
        <w:numPr>
          <w:ilvl w:val="0"/>
          <w:numId w:val="6"/>
        </w:numPr>
        <w:ind w:left="567" w:hanging="567"/>
      </w:pPr>
      <w:r w:rsidRPr="00D14ADE">
        <w:t xml:space="preserve">international standards </w:t>
      </w:r>
      <w:r>
        <w:t xml:space="preserve">established by </w:t>
      </w:r>
      <w:r w:rsidRPr="00D14ADE">
        <w:t xml:space="preserve">Codex Alimentarius (Codex) </w:t>
      </w:r>
    </w:p>
    <w:p w14:paraId="0CF950F4" w14:textId="77777777" w:rsidR="009776D2" w:rsidRPr="00D14ADE" w:rsidRDefault="009776D2" w:rsidP="005C640C">
      <w:pPr>
        <w:pStyle w:val="FSBullet1"/>
        <w:numPr>
          <w:ilvl w:val="0"/>
          <w:numId w:val="6"/>
        </w:numPr>
        <w:ind w:left="567" w:hanging="567"/>
      </w:pPr>
      <w:r w:rsidRPr="00D14ADE">
        <w:t xml:space="preserve">current </w:t>
      </w:r>
      <w:r>
        <w:rPr>
          <w:szCs w:val="20"/>
        </w:rPr>
        <w:t>scientific knowledge</w:t>
      </w:r>
      <w:r w:rsidRPr="00D14ADE">
        <w:rPr>
          <w:szCs w:val="20"/>
        </w:rPr>
        <w:t xml:space="preserve"> </w:t>
      </w:r>
    </w:p>
    <w:p w14:paraId="53A35204" w14:textId="77777777" w:rsidR="009776D2" w:rsidRDefault="009776D2" w:rsidP="005C640C">
      <w:pPr>
        <w:pStyle w:val="FSBullet1"/>
        <w:numPr>
          <w:ilvl w:val="0"/>
          <w:numId w:val="6"/>
        </w:numPr>
        <w:ind w:left="567" w:hanging="567"/>
      </w:pPr>
      <w:r w:rsidRPr="00D14ADE">
        <w:t>best practice manufacturing processes</w:t>
      </w:r>
    </w:p>
    <w:p w14:paraId="0928CB48" w14:textId="1337B85B" w:rsidR="00B830BE" w:rsidRPr="00B830BE" w:rsidRDefault="009776D2" w:rsidP="00B31BDB">
      <w:pPr>
        <w:pStyle w:val="FSBullet1"/>
        <w:numPr>
          <w:ilvl w:val="0"/>
          <w:numId w:val="6"/>
        </w:numPr>
        <w:ind w:left="567" w:hanging="567"/>
      </w:pPr>
      <w:proofErr w:type="gramStart"/>
      <w:r w:rsidRPr="00D14ADE">
        <w:t>the</w:t>
      </w:r>
      <w:proofErr w:type="gramEnd"/>
      <w:r w:rsidRPr="00D14ADE">
        <w:t xml:space="preserve"> transition to outcomes</w:t>
      </w:r>
      <w:r w:rsidR="00FE20FE">
        <w:t>-</w:t>
      </w:r>
      <w:r w:rsidRPr="00D14ADE">
        <w:t xml:space="preserve">based risk management processes. </w:t>
      </w:r>
    </w:p>
    <w:p w14:paraId="325094C6" w14:textId="18E94F7F" w:rsidR="007A53BF" w:rsidRPr="007A53BF" w:rsidRDefault="007A53BF" w:rsidP="00CE59AA">
      <w:pPr>
        <w:pStyle w:val="Heading2"/>
      </w:pPr>
      <w:bookmarkStart w:id="28" w:name="_Toc440636829"/>
      <w:r w:rsidRPr="007A53BF">
        <w:t>1.</w:t>
      </w:r>
      <w:r w:rsidR="00A755E9">
        <w:t>4</w:t>
      </w:r>
      <w:r w:rsidRPr="007A53BF">
        <w:tab/>
        <w:t>Procedure for assessment</w:t>
      </w:r>
      <w:bookmarkEnd w:id="27"/>
      <w:bookmarkEnd w:id="28"/>
    </w:p>
    <w:p w14:paraId="325094C7" w14:textId="3111056E" w:rsidR="00AF397D" w:rsidRPr="009776D2" w:rsidRDefault="00AF397D" w:rsidP="00AF397D">
      <w:r w:rsidRPr="009776D2">
        <w:t>The Proposal was assessed under the General Procedure.</w:t>
      </w:r>
    </w:p>
    <w:p w14:paraId="325094C8" w14:textId="7F1387F2" w:rsidR="00422EC9" w:rsidRDefault="007A53BF" w:rsidP="00422EC9">
      <w:pPr>
        <w:pStyle w:val="Heading2"/>
      </w:pPr>
      <w:bookmarkStart w:id="29" w:name="_Toc440636830"/>
      <w:r w:rsidRPr="0076521C">
        <w:t>1</w:t>
      </w:r>
      <w:r w:rsidR="00422EC9" w:rsidRPr="0076521C">
        <w:t>.</w:t>
      </w:r>
      <w:r w:rsidR="00A755E9" w:rsidRPr="0076521C">
        <w:t>5</w:t>
      </w:r>
      <w:r w:rsidR="00422EC9" w:rsidRPr="0076521C">
        <w:tab/>
        <w:t>Decision</w:t>
      </w:r>
      <w:bookmarkEnd w:id="29"/>
    </w:p>
    <w:p w14:paraId="325094CB" w14:textId="0E5472A6" w:rsidR="00401ADE" w:rsidRPr="005358B0" w:rsidRDefault="00422EC9" w:rsidP="00401ADE">
      <w:r w:rsidRPr="007F580D">
        <w:t xml:space="preserve">The draft </w:t>
      </w:r>
      <w:r w:rsidR="00E30092" w:rsidRPr="007F580D">
        <w:t xml:space="preserve">variation </w:t>
      </w:r>
      <w:r w:rsidRPr="007F580D">
        <w:t xml:space="preserve">as proposed following assessment was approved </w:t>
      </w:r>
      <w:r w:rsidR="005E58D3" w:rsidRPr="007F580D">
        <w:t>with amendment</w:t>
      </w:r>
      <w:r w:rsidRPr="007F580D">
        <w:t>.</w:t>
      </w:r>
      <w:r w:rsidR="002C1A3B" w:rsidRPr="007F580D">
        <w:t xml:space="preserve"> </w:t>
      </w:r>
      <w:r w:rsidRPr="0076521C">
        <w:t xml:space="preserve">The </w:t>
      </w:r>
      <w:r w:rsidR="002C1A3B" w:rsidRPr="007F580D">
        <w:t xml:space="preserve">approved </w:t>
      </w:r>
      <w:r w:rsidRPr="007F580D">
        <w:t xml:space="preserve">draft </w:t>
      </w:r>
      <w:r w:rsidR="00E30092" w:rsidRPr="007F580D">
        <w:t>variation</w:t>
      </w:r>
      <w:r w:rsidRPr="007F580D">
        <w:t xml:space="preserve">, </w:t>
      </w:r>
      <w:r w:rsidR="00BC626A" w:rsidRPr="00BC626A">
        <w:t xml:space="preserve">as varied after consideration of submissions, </w:t>
      </w:r>
      <w:r w:rsidR="005E06C0" w:rsidRPr="00BC626A">
        <w:t xml:space="preserve">is </w:t>
      </w:r>
      <w:r w:rsidRPr="00BC626A">
        <w:t xml:space="preserve">at Attachment A. </w:t>
      </w:r>
      <w:r w:rsidR="00CC44B1">
        <w:t xml:space="preserve"> </w:t>
      </w:r>
      <w:r w:rsidR="00CC44B1" w:rsidRPr="007F580D">
        <w:t xml:space="preserve">The variation takes </w:t>
      </w:r>
      <w:r w:rsidR="00CC44B1" w:rsidRPr="0076521C">
        <w:t>effect on gazettal.</w:t>
      </w:r>
      <w:r w:rsidR="00C301B3">
        <w:t xml:space="preserve"> </w:t>
      </w:r>
      <w:r w:rsidR="005E06C0">
        <w:t xml:space="preserve">The </w:t>
      </w:r>
      <w:r w:rsidR="00401ADE">
        <w:t xml:space="preserve">related explanatory statement </w:t>
      </w:r>
      <w:r w:rsidR="005E06C0">
        <w:t xml:space="preserve">is at Attachment B. </w:t>
      </w:r>
    </w:p>
    <w:p w14:paraId="325094CC" w14:textId="77777777" w:rsidR="00401ADE" w:rsidRDefault="00401ADE" w:rsidP="002C1A3B"/>
    <w:p w14:paraId="325094CD" w14:textId="1DEDAF5E" w:rsidR="002C1A3B" w:rsidRDefault="002C1A3B" w:rsidP="002C1A3B">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1C65EF">
        <w:t>on</w:t>
      </w:r>
      <w:r>
        <w:t xml:space="preserve"> </w:t>
      </w:r>
    </w:p>
    <w:p w14:paraId="325094CE" w14:textId="77777777" w:rsidR="002C1A3B" w:rsidRPr="00D26814" w:rsidRDefault="002C1A3B" w:rsidP="002C1A3B">
      <w:pPr>
        <w:rPr>
          <w:u w:val="single"/>
        </w:rPr>
      </w:pPr>
    </w:p>
    <w:p w14:paraId="325094CF" w14:textId="4419A69D" w:rsidR="00422EC9" w:rsidRPr="00314EA0" w:rsidRDefault="00422EC9" w:rsidP="00AF397D">
      <w:pPr>
        <w:rPr>
          <w:u w:val="single"/>
        </w:rPr>
      </w:pPr>
      <w:r w:rsidRPr="00314EA0">
        <w:t xml:space="preserve">The draft </w:t>
      </w:r>
      <w:r w:rsidR="00E30092" w:rsidRPr="00314EA0">
        <w:t xml:space="preserve">variation </w:t>
      </w:r>
      <w:r w:rsidRPr="00314EA0">
        <w:t>on which submissions were sought is at Attachment C.</w:t>
      </w:r>
      <w:r w:rsidR="002C1A3B" w:rsidRPr="00314EA0">
        <w:t xml:space="preserve"> </w:t>
      </w:r>
    </w:p>
    <w:p w14:paraId="325094D0" w14:textId="77777777" w:rsidR="0012388D" w:rsidRDefault="007A53BF" w:rsidP="00755F02">
      <w:pPr>
        <w:pStyle w:val="Heading1"/>
      </w:pPr>
      <w:bookmarkStart w:id="30" w:name="_Toc440636831"/>
      <w:bookmarkStart w:id="31" w:name="_Toc11735630"/>
      <w:bookmarkStart w:id="32" w:name="_Toc29883114"/>
      <w:bookmarkStart w:id="33" w:name="_Toc41906801"/>
      <w:bookmarkStart w:id="34" w:name="_Toc41907548"/>
      <w:bookmarkStart w:id="35" w:name="_Toc120358578"/>
      <w:bookmarkStart w:id="36"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0"/>
    </w:p>
    <w:p w14:paraId="325094D1" w14:textId="77777777" w:rsidR="007A53BF" w:rsidRPr="002C1A3B" w:rsidRDefault="007A53BF" w:rsidP="007A53BF">
      <w:pPr>
        <w:pStyle w:val="Heading2"/>
      </w:pPr>
      <w:bookmarkStart w:id="37" w:name="_Toc300933438"/>
      <w:bookmarkStart w:id="38" w:name="_Toc370223471"/>
      <w:bookmarkStart w:id="39" w:name="_Toc370225386"/>
      <w:bookmarkStart w:id="40" w:name="_Toc440636832"/>
      <w:bookmarkStart w:id="41" w:name="_Toc286391009"/>
      <w:bookmarkStart w:id="42" w:name="_Toc300933425"/>
      <w:bookmarkStart w:id="43" w:name="_Toc309291838"/>
      <w:bookmarkStart w:id="44" w:name="_Toc309385455"/>
      <w:bookmarkStart w:id="45" w:name="_Toc120358583"/>
      <w:bookmarkStart w:id="46" w:name="_Toc175381440"/>
      <w:r w:rsidRPr="002C1A3B">
        <w:t>2.1</w:t>
      </w:r>
      <w:r w:rsidRPr="002C1A3B">
        <w:tab/>
      </w:r>
      <w:r w:rsidRPr="003E6443">
        <w:t xml:space="preserve">Summary of issues raised </w:t>
      </w:r>
      <w:bookmarkEnd w:id="37"/>
      <w:r w:rsidRPr="003E6443">
        <w:t>in submissions</w:t>
      </w:r>
      <w:bookmarkEnd w:id="38"/>
      <w:bookmarkEnd w:id="39"/>
      <w:bookmarkEnd w:id="40"/>
    </w:p>
    <w:p w14:paraId="174C6C50" w14:textId="25E08151" w:rsidR="005A073C" w:rsidRDefault="005253F5" w:rsidP="00B31BDB">
      <w:r>
        <w:t xml:space="preserve">FSANZ consulted on the proposed </w:t>
      </w:r>
      <w:r w:rsidR="00F14077">
        <w:t>draft variation in October 2015</w:t>
      </w:r>
      <w:r>
        <w:t xml:space="preserve"> </w:t>
      </w:r>
      <w:r w:rsidR="00F14077" w:rsidRPr="00433808">
        <w:t xml:space="preserve">and </w:t>
      </w:r>
      <w:r w:rsidR="001C65EF">
        <w:t>nine</w:t>
      </w:r>
      <w:r w:rsidR="00F14077" w:rsidRPr="00433808">
        <w:t xml:space="preserve"> submissions</w:t>
      </w:r>
      <w:r w:rsidR="00F14077">
        <w:t xml:space="preserve"> were received. The majority of the submissions were generally supportive of FSANZ’s </w:t>
      </w:r>
      <w:r w:rsidR="00F14077" w:rsidRPr="00F14077">
        <w:t>overall approach in the review</w:t>
      </w:r>
      <w:r w:rsidR="005A073C">
        <w:t xml:space="preserve"> and variation to the standard, specifically </w:t>
      </w:r>
      <w:r w:rsidR="005A073C" w:rsidRPr="005A073C">
        <w:t>supporting:</w:t>
      </w:r>
    </w:p>
    <w:p w14:paraId="59441D25" w14:textId="77777777" w:rsidR="001C65EF" w:rsidRPr="005A073C" w:rsidRDefault="001C65EF" w:rsidP="00B31BDB"/>
    <w:p w14:paraId="0207A293" w14:textId="77777777" w:rsidR="005A073C" w:rsidRPr="005A073C" w:rsidRDefault="005A073C" w:rsidP="00B31BDB">
      <w:pPr>
        <w:pStyle w:val="FSBullet1"/>
      </w:pPr>
      <w:r w:rsidRPr="005A073C">
        <w:t xml:space="preserve">harmonisation with Codex and international standards </w:t>
      </w:r>
    </w:p>
    <w:p w14:paraId="18C3BC90" w14:textId="143AA4F3" w:rsidR="005A073C" w:rsidRPr="005A073C" w:rsidRDefault="005A073C" w:rsidP="00B31BDB">
      <w:pPr>
        <w:pStyle w:val="FSBullet1"/>
      </w:pPr>
      <w:r w:rsidRPr="005A073C">
        <w:t>the creation of two distinct product categories powdered infant formula products and powdered follow-on formula</w:t>
      </w:r>
    </w:p>
    <w:p w14:paraId="2825960A" w14:textId="25187EBD" w:rsidR="005A073C" w:rsidRPr="005A073C" w:rsidRDefault="005A073C" w:rsidP="00B31BDB">
      <w:pPr>
        <w:pStyle w:val="FSBullet1"/>
      </w:pPr>
      <w:r w:rsidRPr="005A073C">
        <w:t>differentiation between process hygiene and food safety criteria and the separation of process hygiene criteria into a guidance document</w:t>
      </w:r>
    </w:p>
    <w:p w14:paraId="1A9179AF" w14:textId="28D6B1C1" w:rsidR="005A073C" w:rsidRPr="005A073C" w:rsidRDefault="005A073C" w:rsidP="00B31BDB">
      <w:pPr>
        <w:pStyle w:val="FSBullet1"/>
      </w:pPr>
      <w:proofErr w:type="gramStart"/>
      <w:r w:rsidRPr="005A073C">
        <w:t>the</w:t>
      </w:r>
      <w:proofErr w:type="gramEnd"/>
      <w:r w:rsidRPr="005A073C">
        <w:t xml:space="preserve"> development of the </w:t>
      </w:r>
      <w:r w:rsidR="00BC626A" w:rsidRPr="005F640E">
        <w:rPr>
          <w:bCs/>
          <w:i/>
          <w:color w:val="000000" w:themeColor="text1"/>
          <w:lang w:eastAsia="en-AU"/>
        </w:rPr>
        <w:t>Compendium of Microbiological Criteria for Food</w:t>
      </w:r>
      <w:r w:rsidR="00BC626A" w:rsidRPr="005A073C">
        <w:t xml:space="preserve"> </w:t>
      </w:r>
      <w:r w:rsidR="00CC44B1">
        <w:t>as a</w:t>
      </w:r>
      <w:r w:rsidR="00CC44B1" w:rsidRPr="005A073C">
        <w:t xml:space="preserve"> </w:t>
      </w:r>
      <w:r w:rsidRPr="005A073C">
        <w:t xml:space="preserve">food guidance document and the proposed </w:t>
      </w:r>
      <w:r>
        <w:t>process hygiene</w:t>
      </w:r>
      <w:r w:rsidRPr="005A073C">
        <w:t xml:space="preserve"> criteria and associated sampling plans</w:t>
      </w:r>
      <w:r w:rsidR="00C3617C">
        <w:t>.</w:t>
      </w:r>
    </w:p>
    <w:p w14:paraId="410E9879" w14:textId="77777777" w:rsidR="001C65EF" w:rsidRDefault="001C65EF" w:rsidP="00B31BDB"/>
    <w:p w14:paraId="59BBF169" w14:textId="7A811329" w:rsidR="005A073C" w:rsidRDefault="005A073C" w:rsidP="00B31BDB">
      <w:r>
        <w:t xml:space="preserve">This is </w:t>
      </w:r>
      <w:r w:rsidRPr="005A073C">
        <w:t xml:space="preserve">consistent with previous consultation on </w:t>
      </w:r>
      <w:r>
        <w:t>the review of microbiological criteria for food in Standard 1.6.1 and associated guidelines</w:t>
      </w:r>
      <w:r w:rsidRPr="005A073C">
        <w:t>.</w:t>
      </w:r>
    </w:p>
    <w:p w14:paraId="6D0250EE" w14:textId="77777777" w:rsidR="001C65EF" w:rsidRPr="005A073C" w:rsidRDefault="001C65EF" w:rsidP="00B31BDB"/>
    <w:p w14:paraId="11019141" w14:textId="6084846A" w:rsidR="00F14077" w:rsidRDefault="00BC626A" w:rsidP="00B31BDB">
      <w:r>
        <w:t>Issues raised by s</w:t>
      </w:r>
      <w:r w:rsidR="005A073C">
        <w:t>ubmitters are outlined and addressed below in Table 1.</w:t>
      </w:r>
    </w:p>
    <w:p w14:paraId="2C5AF199" w14:textId="62A4A945" w:rsidR="005253F5" w:rsidRPr="005253F5" w:rsidRDefault="005253F5" w:rsidP="005253F5">
      <w:pPr>
        <w:sectPr w:rsidR="005253F5" w:rsidRPr="005253F5" w:rsidSect="00C301B3">
          <w:pgSz w:w="11906" w:h="16838" w:code="9"/>
          <w:pgMar w:top="1418" w:right="1418" w:bottom="1418" w:left="1418" w:header="709" w:footer="709" w:gutter="0"/>
          <w:pgNumType w:start="1"/>
          <w:cols w:space="708"/>
          <w:docGrid w:linePitch="360"/>
        </w:sectPr>
      </w:pPr>
    </w:p>
    <w:p w14:paraId="325094D2" w14:textId="77777777" w:rsidR="007A53BF" w:rsidRDefault="007A53BF" w:rsidP="007A53BF">
      <w:pPr>
        <w:pStyle w:val="FSTableTitle"/>
      </w:pPr>
      <w:r w:rsidRPr="00142CE5">
        <w:lastRenderedPageBreak/>
        <w:t>Table 1: Summary of issues</w:t>
      </w:r>
      <w:r>
        <w:t xml:space="preserve"> </w:t>
      </w:r>
    </w:p>
    <w:p w14:paraId="325094D3" w14:textId="77777777" w:rsidR="007A53BF" w:rsidRPr="00B853D2" w:rsidRDefault="007A53BF" w:rsidP="007A53BF"/>
    <w:tbl>
      <w:tblPr>
        <w:tblStyle w:val="MediumShading1-Accent3"/>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7131"/>
      </w:tblGrid>
      <w:tr w:rsidR="007A53BF" w14:paraId="325094D7" w14:textId="77777777" w:rsidTr="005E4034">
        <w:trPr>
          <w:cnfStyle w:val="100000000000" w:firstRow="1" w:lastRow="0" w:firstColumn="0" w:lastColumn="0" w:oddVBand="0" w:evenVBand="0" w:oddHBand="0" w:evenHBand="0" w:firstRowFirstColumn="0" w:firstRowLastColumn="0" w:lastRowFirstColumn="0" w:lastRowLastColumn="0"/>
          <w:trHeight w:val="1003"/>
          <w:tblHeader/>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right w:val="none" w:sz="0" w:space="0" w:color="auto"/>
            </w:tcBorders>
          </w:tcPr>
          <w:p w14:paraId="325094D4" w14:textId="77777777" w:rsidR="007A53BF" w:rsidRDefault="007A53BF" w:rsidP="007A53BF">
            <w:pPr>
              <w:spacing w:after="240"/>
            </w:pPr>
            <w:r>
              <w:t>Issue</w:t>
            </w:r>
          </w:p>
        </w:tc>
        <w:tc>
          <w:tcPr>
            <w:tcW w:w="3402" w:type="dxa"/>
            <w:tcBorders>
              <w:top w:val="none" w:sz="0" w:space="0" w:color="auto"/>
              <w:left w:val="none" w:sz="0" w:space="0" w:color="auto"/>
              <w:bottom w:val="none" w:sz="0" w:space="0" w:color="auto"/>
              <w:right w:val="none" w:sz="0" w:space="0" w:color="auto"/>
            </w:tcBorders>
          </w:tcPr>
          <w:p w14:paraId="325094D5" w14:textId="77777777"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7131" w:type="dxa"/>
            <w:tcBorders>
              <w:top w:val="none" w:sz="0" w:space="0" w:color="auto"/>
              <w:left w:val="none" w:sz="0" w:space="0" w:color="auto"/>
              <w:bottom w:val="none" w:sz="0" w:space="0" w:color="auto"/>
              <w:right w:val="none" w:sz="0" w:space="0" w:color="auto"/>
            </w:tcBorders>
          </w:tcPr>
          <w:p w14:paraId="325094D6" w14:textId="77777777" w:rsidR="001D43F6" w:rsidRDefault="007A53BF" w:rsidP="001D43F6">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(including any amendments to drafting)</w:t>
            </w:r>
          </w:p>
        </w:tc>
      </w:tr>
      <w:tr w:rsidR="00EC0A83" w14:paraId="325094DB" w14:textId="77777777" w:rsidTr="005E4034">
        <w:trPr>
          <w:cnfStyle w:val="000000100000" w:firstRow="0" w:lastRow="0" w:firstColumn="0" w:lastColumn="0" w:oddVBand="0" w:evenVBand="0" w:oddHBand="1" w:evenHBand="0" w:firstRowFirstColumn="0" w:firstRowLastColumn="0" w:lastRowFirstColumn="0" w:lastRowLastColumn="0"/>
          <w:cantSplit/>
          <w:trHeight w:val="2719"/>
        </w:trPr>
        <w:tc>
          <w:tcPr>
            <w:cnfStyle w:val="001000000000" w:firstRow="0" w:lastRow="0" w:firstColumn="1" w:lastColumn="0" w:oddVBand="0" w:evenVBand="0" w:oddHBand="0" w:evenHBand="0" w:firstRowFirstColumn="0" w:firstRowLastColumn="0" w:lastRowFirstColumn="0" w:lastRowLastColumn="0"/>
            <w:tcW w:w="3652" w:type="dxa"/>
            <w:tcBorders>
              <w:right w:val="none" w:sz="0" w:space="0" w:color="auto"/>
            </w:tcBorders>
          </w:tcPr>
          <w:p w14:paraId="4B2BEDDD" w14:textId="200020CF" w:rsidR="00EC0A83" w:rsidRDefault="00EC0A83" w:rsidP="00B31BDB">
            <w:pPr>
              <w:pStyle w:val="Table2"/>
              <w:ind w:left="113" w:hanging="113"/>
              <w:rPr>
                <w:b w:val="0"/>
                <w:bCs/>
                <w:szCs w:val="18"/>
                <w:lang w:eastAsia="en-AU" w:bidi="ar-SA"/>
              </w:rPr>
            </w:pPr>
            <w:r w:rsidRPr="007B5ABE">
              <w:rPr>
                <w:b w:val="0"/>
                <w:bCs/>
                <w:szCs w:val="18"/>
                <w:lang w:eastAsia="en-AU" w:bidi="ar-SA"/>
              </w:rPr>
              <w:t xml:space="preserve">Stringency of the sampling plans proposed for Salmonella (and </w:t>
            </w:r>
            <w:proofErr w:type="spellStart"/>
            <w:r w:rsidRPr="007B5ABE">
              <w:rPr>
                <w:b w:val="0"/>
                <w:bCs/>
                <w:szCs w:val="18"/>
                <w:lang w:eastAsia="en-AU" w:bidi="ar-SA"/>
              </w:rPr>
              <w:t>Cronobacter</w:t>
            </w:r>
            <w:proofErr w:type="spellEnd"/>
            <w:r w:rsidRPr="007B5ABE">
              <w:rPr>
                <w:b w:val="0"/>
                <w:bCs/>
                <w:szCs w:val="18"/>
                <w:lang w:eastAsia="en-AU" w:bidi="ar-SA"/>
              </w:rPr>
              <w:t>)</w:t>
            </w:r>
          </w:p>
          <w:p w14:paraId="7F87A927" w14:textId="77777777" w:rsidR="001C65EF" w:rsidRPr="007B5ABE" w:rsidRDefault="001C65EF" w:rsidP="007B5ABE">
            <w:pPr>
              <w:pStyle w:val="Table2"/>
              <w:ind w:left="0" w:firstLine="0"/>
              <w:rPr>
                <w:b w:val="0"/>
                <w:bCs/>
                <w:szCs w:val="18"/>
                <w:lang w:eastAsia="en-AU" w:bidi="ar-SA"/>
              </w:rPr>
            </w:pPr>
          </w:p>
          <w:p w14:paraId="6F5123EE" w14:textId="77777777" w:rsidR="00EC0A83" w:rsidRPr="007B5ABE" w:rsidRDefault="00EC0A83" w:rsidP="00BD0DA0">
            <w:pPr>
              <w:pStyle w:val="Table2"/>
              <w:numPr>
                <w:ilvl w:val="0"/>
                <w:numId w:val="7"/>
              </w:numPr>
              <w:rPr>
                <w:b w:val="0"/>
                <w:bCs/>
                <w:szCs w:val="18"/>
                <w:lang w:eastAsia="en-AU" w:bidi="ar-SA"/>
              </w:rPr>
            </w:pPr>
            <w:r w:rsidRPr="007B5ABE">
              <w:rPr>
                <w:b w:val="0"/>
                <w:bCs/>
                <w:szCs w:val="18"/>
                <w:lang w:eastAsia="en-AU" w:bidi="ar-SA"/>
              </w:rPr>
              <w:t>unnecessarily onerous (no evidence of regulatory failure)</w:t>
            </w:r>
          </w:p>
          <w:p w14:paraId="325094D8" w14:textId="123C0591" w:rsidR="00EC0A83" w:rsidRPr="007B5ABE" w:rsidRDefault="00EC0A83" w:rsidP="00C85E10">
            <w:pPr>
              <w:pStyle w:val="Table2"/>
              <w:numPr>
                <w:ilvl w:val="0"/>
                <w:numId w:val="7"/>
              </w:numPr>
              <w:rPr>
                <w:b w:val="0"/>
                <w:bCs/>
                <w:szCs w:val="18"/>
                <w:lang w:eastAsia="en-AU" w:bidi="ar-SA"/>
              </w:rPr>
            </w:pPr>
            <w:r w:rsidRPr="007B5ABE">
              <w:rPr>
                <w:b w:val="0"/>
                <w:bCs/>
                <w:szCs w:val="18"/>
                <w:lang w:eastAsia="en-AU" w:bidi="ar-SA"/>
              </w:rPr>
              <w:t>Increases the cost of testing</w:t>
            </w:r>
            <w:r w:rsidR="00B7592E" w:rsidRPr="007B5ABE">
              <w:rPr>
                <w:b w:val="0"/>
                <w:bCs/>
                <w:szCs w:val="18"/>
                <w:lang w:eastAsia="en-AU" w:bidi="ar-SA"/>
              </w:rPr>
              <w:t xml:space="preserve"> </w:t>
            </w:r>
            <w:r w:rsidR="00C85E10">
              <w:rPr>
                <w:b w:val="0"/>
                <w:bCs/>
                <w:szCs w:val="18"/>
                <w:lang w:eastAsia="en-AU" w:bidi="ar-SA"/>
              </w:rPr>
              <w:t>(</w:t>
            </w:r>
            <w:r w:rsidR="00B7592E" w:rsidRPr="007B5ABE">
              <w:rPr>
                <w:b w:val="0"/>
                <w:bCs/>
                <w:szCs w:val="18"/>
                <w:lang w:eastAsia="en-AU" w:bidi="ar-SA"/>
              </w:rPr>
              <w:t>changes, therefore may not be “machinery in nature”</w:t>
            </w:r>
            <w:r w:rsidR="00C85E10">
              <w:rPr>
                <w:b w:val="0"/>
                <w:bCs/>
                <w:szCs w:val="18"/>
                <w:lang w:eastAsia="en-AU" w:bidi="ar-SA"/>
              </w:rPr>
              <w:t>)</w:t>
            </w:r>
            <w:r w:rsidR="00B7592E" w:rsidRPr="007B5ABE">
              <w:rPr>
                <w:b w:val="0"/>
                <w:bCs/>
                <w:szCs w:val="18"/>
                <w:lang w:eastAsia="en-AU" w:bidi="ar-SA"/>
              </w:rPr>
              <w:t>.</w:t>
            </w:r>
          </w:p>
        </w:tc>
        <w:tc>
          <w:tcPr>
            <w:tcW w:w="3402" w:type="dxa"/>
            <w:tcBorders>
              <w:left w:val="none" w:sz="0" w:space="0" w:color="auto"/>
              <w:right w:val="none" w:sz="0" w:space="0" w:color="auto"/>
            </w:tcBorders>
          </w:tcPr>
          <w:p w14:paraId="325094D9" w14:textId="2891C01D" w:rsidR="00EC0A83" w:rsidRPr="007B5ABE" w:rsidRDefault="00B7592E" w:rsidP="00B31BDB">
            <w:pPr>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r w:rsidRPr="007B5ABE">
              <w:rPr>
                <w:bCs/>
                <w:sz w:val="18"/>
                <w:szCs w:val="18"/>
                <w:lang w:eastAsia="en-AU" w:bidi="ar-SA"/>
              </w:rPr>
              <w:t>Dairy Food Safety Victoria (DFSV) and the Victorian Departments of Health and Human</w:t>
            </w:r>
            <w:r w:rsidR="007B5ABE">
              <w:rPr>
                <w:bCs/>
                <w:sz w:val="18"/>
                <w:szCs w:val="18"/>
                <w:lang w:eastAsia="en-AU" w:bidi="ar-SA"/>
              </w:rPr>
              <w:t xml:space="preserve"> </w:t>
            </w:r>
            <w:r w:rsidRPr="007B5ABE">
              <w:rPr>
                <w:sz w:val="18"/>
                <w:szCs w:val="18"/>
                <w:lang w:eastAsia="en-AU" w:bidi="ar-SA"/>
              </w:rPr>
              <w:t>Services and Economic Development, Jobs, Transport and Resources</w:t>
            </w:r>
          </w:p>
        </w:tc>
        <w:tc>
          <w:tcPr>
            <w:tcW w:w="7131" w:type="dxa"/>
            <w:tcBorders>
              <w:left w:val="none" w:sz="0" w:space="0" w:color="auto"/>
            </w:tcBorders>
          </w:tcPr>
          <w:p w14:paraId="315913FE" w14:textId="746CA10A" w:rsidR="00EC0A83" w:rsidRPr="007B5ABE" w:rsidRDefault="00EC0A8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r w:rsidRPr="007B5ABE">
              <w:rPr>
                <w:szCs w:val="18"/>
              </w:rPr>
              <w:t xml:space="preserve">The FAO/WHO Expert Consultation (2004) determined </w:t>
            </w:r>
            <w:r w:rsidRPr="007B5ABE">
              <w:rPr>
                <w:i/>
                <w:szCs w:val="18"/>
              </w:rPr>
              <w:t>Salmonella</w:t>
            </w:r>
            <w:r w:rsidRPr="007B5ABE">
              <w:rPr>
                <w:szCs w:val="18"/>
              </w:rPr>
              <w:t xml:space="preserve"> </w:t>
            </w:r>
            <w:proofErr w:type="spellStart"/>
            <w:r w:rsidRPr="007B5ABE">
              <w:rPr>
                <w:szCs w:val="18"/>
              </w:rPr>
              <w:t>spp</w:t>
            </w:r>
            <w:proofErr w:type="spellEnd"/>
            <w:r w:rsidRPr="007B5ABE">
              <w:rPr>
                <w:szCs w:val="18"/>
              </w:rPr>
              <w:t xml:space="preserve"> and </w:t>
            </w:r>
            <w:proofErr w:type="spellStart"/>
            <w:r w:rsidRPr="007B5ABE">
              <w:rPr>
                <w:i/>
                <w:szCs w:val="18"/>
              </w:rPr>
              <w:t>Cronobacter</w:t>
            </w:r>
            <w:proofErr w:type="spellEnd"/>
            <w:r w:rsidRPr="007B5ABE">
              <w:rPr>
                <w:szCs w:val="18"/>
              </w:rPr>
              <w:t xml:space="preserve"> spp. to be </w:t>
            </w:r>
            <w:r w:rsidRPr="007B5ABE">
              <w:rPr>
                <w:szCs w:val="18"/>
                <w:lang w:eastAsia="en-AU" w:bidi="ar-SA"/>
              </w:rPr>
              <w:t xml:space="preserve">“microorganisms with a clear evidence of causality with illness” (Category A). The establishment of sampling plans by Codex utilised the ICMSF suggested sampling plans based on the degree of health concern and condition for use (ICMSF, 2002). This recommends a stringent sampling plan for </w:t>
            </w:r>
            <w:r w:rsidRPr="007B5ABE">
              <w:rPr>
                <w:i/>
                <w:szCs w:val="18"/>
                <w:lang w:eastAsia="en-AU" w:bidi="ar-SA"/>
              </w:rPr>
              <w:t>Salmonella</w:t>
            </w:r>
            <w:r w:rsidRPr="007B5ABE">
              <w:rPr>
                <w:szCs w:val="18"/>
                <w:lang w:eastAsia="en-AU" w:bidi="ar-SA"/>
              </w:rPr>
              <w:t xml:space="preserve"> (case 15, n=60) based on </w:t>
            </w:r>
            <w:r w:rsidRPr="007B5ABE">
              <w:rPr>
                <w:i/>
                <w:szCs w:val="18"/>
                <w:lang w:eastAsia="en-AU" w:bidi="ar-SA"/>
              </w:rPr>
              <w:t>Salmonella</w:t>
            </w:r>
            <w:r w:rsidRPr="007B5ABE">
              <w:rPr>
                <w:szCs w:val="18"/>
                <w:lang w:eastAsia="en-AU" w:bidi="ar-SA"/>
              </w:rPr>
              <w:t xml:space="preserve"> being a severe health hazard  for infants and that conditions of use may increase the hazard (reconstituted infant formula may support its growth </w:t>
            </w:r>
            <w:r w:rsidR="00B7592E" w:rsidRPr="007B5ABE">
              <w:rPr>
                <w:szCs w:val="18"/>
                <w:lang w:eastAsia="en-AU" w:bidi="ar-SA"/>
              </w:rPr>
              <w:t>and can be</w:t>
            </w:r>
            <w:r w:rsidRPr="007B5ABE">
              <w:rPr>
                <w:szCs w:val="18"/>
                <w:lang w:eastAsia="en-AU" w:bidi="ar-SA"/>
              </w:rPr>
              <w:t xml:space="preserve"> the sole source of nutrition for infants &lt; 6 months). For </w:t>
            </w:r>
            <w:proofErr w:type="spellStart"/>
            <w:r w:rsidRPr="007B5ABE">
              <w:rPr>
                <w:i/>
                <w:szCs w:val="18"/>
                <w:lang w:eastAsia="en-AU" w:bidi="ar-SA"/>
              </w:rPr>
              <w:t>Cronobacter</w:t>
            </w:r>
            <w:proofErr w:type="spellEnd"/>
            <w:r w:rsidRPr="007B5ABE">
              <w:rPr>
                <w:szCs w:val="18"/>
                <w:lang w:eastAsia="en-AU" w:bidi="ar-SA"/>
              </w:rPr>
              <w:t xml:space="preserve"> a case 14 (n=30) sampling plan was proposed as condition</w:t>
            </w:r>
            <w:r w:rsidR="00B259B3" w:rsidRPr="007B5ABE">
              <w:rPr>
                <w:szCs w:val="18"/>
                <w:lang w:eastAsia="en-AU" w:bidi="ar-SA"/>
              </w:rPr>
              <w:t>s of use cause no change in concern.</w:t>
            </w:r>
          </w:p>
          <w:p w14:paraId="4160BD55" w14:textId="77777777" w:rsidR="00EC0A83" w:rsidRPr="007B5ABE" w:rsidRDefault="00EC0A8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r w:rsidRPr="007B5ABE">
              <w:rPr>
                <w:szCs w:val="18"/>
                <w:lang w:eastAsia="en-AU" w:bidi="ar-SA"/>
              </w:rPr>
              <w:t xml:space="preserve"> </w:t>
            </w:r>
          </w:p>
          <w:p w14:paraId="374C395A" w14:textId="74205118" w:rsidR="00EC0A83" w:rsidRPr="007B5ABE" w:rsidRDefault="00EC0A8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r w:rsidRPr="007B5ABE">
              <w:rPr>
                <w:szCs w:val="18"/>
                <w:lang w:eastAsia="en-AU" w:bidi="ar-SA"/>
              </w:rPr>
              <w:t xml:space="preserve">Food safety criteria for powdered infant formula products in the Code will establish sampling plans for lot acceptance of </w:t>
            </w:r>
            <w:r w:rsidR="00BD0DA0" w:rsidRPr="007B5ABE">
              <w:rPr>
                <w:szCs w:val="18"/>
                <w:lang w:eastAsia="en-AU" w:bidi="ar-SA"/>
              </w:rPr>
              <w:t>product</w:t>
            </w:r>
            <w:r w:rsidRPr="007B5ABE">
              <w:rPr>
                <w:szCs w:val="18"/>
                <w:lang w:eastAsia="en-AU" w:bidi="ar-SA"/>
              </w:rPr>
              <w:t xml:space="preserve"> for sale in Australia and New Zealand or imported into Australia and New Zealand that can be applied by regulatory authorities. Manufacturers of powdered infant formula products </w:t>
            </w:r>
            <w:r w:rsidR="00C50E17">
              <w:rPr>
                <w:szCs w:val="18"/>
                <w:lang w:eastAsia="en-AU" w:bidi="ar-SA"/>
              </w:rPr>
              <w:t>c</w:t>
            </w:r>
            <w:r w:rsidR="00B7592E" w:rsidRPr="007B5ABE">
              <w:rPr>
                <w:szCs w:val="18"/>
                <w:lang w:eastAsia="en-AU" w:bidi="ar-SA"/>
              </w:rPr>
              <w:t xml:space="preserve">ould </w:t>
            </w:r>
            <w:r w:rsidRPr="007B5ABE">
              <w:rPr>
                <w:szCs w:val="18"/>
                <w:lang w:eastAsia="en-AU" w:bidi="ar-SA"/>
              </w:rPr>
              <w:t xml:space="preserve">ensure their product </w:t>
            </w:r>
            <w:r w:rsidR="005F3728" w:rsidRPr="007B5ABE">
              <w:rPr>
                <w:szCs w:val="18"/>
                <w:lang w:eastAsia="en-AU" w:bidi="ar-SA"/>
              </w:rPr>
              <w:t>can comply with</w:t>
            </w:r>
            <w:r w:rsidRPr="007B5ABE">
              <w:rPr>
                <w:szCs w:val="18"/>
                <w:lang w:eastAsia="en-AU" w:bidi="ar-SA"/>
              </w:rPr>
              <w:t xml:space="preserve"> </w:t>
            </w:r>
            <w:r w:rsidR="005F3728" w:rsidRPr="007B5ABE">
              <w:rPr>
                <w:szCs w:val="18"/>
                <w:lang w:eastAsia="en-AU" w:bidi="ar-SA"/>
              </w:rPr>
              <w:t>the sampling plans specified</w:t>
            </w:r>
            <w:r w:rsidRPr="007B5ABE">
              <w:rPr>
                <w:szCs w:val="18"/>
                <w:lang w:eastAsia="en-AU" w:bidi="ar-SA"/>
              </w:rPr>
              <w:t xml:space="preserve"> through implementing </w:t>
            </w:r>
            <w:r w:rsidR="00BD0DA0" w:rsidRPr="007B5ABE">
              <w:rPr>
                <w:szCs w:val="18"/>
                <w:lang w:eastAsia="en-AU" w:bidi="ar-SA"/>
              </w:rPr>
              <w:t xml:space="preserve">a food safety </w:t>
            </w:r>
            <w:r w:rsidRPr="007B5ABE">
              <w:rPr>
                <w:szCs w:val="18"/>
                <w:lang w:eastAsia="en-AU" w:bidi="ar-SA"/>
              </w:rPr>
              <w:t xml:space="preserve">system, such as food safety programs or HACCP, and undertaking an appropriate level of testing to verify that the controls in place are working. For example, in relation to n=60 for </w:t>
            </w:r>
            <w:r w:rsidRPr="007B5ABE">
              <w:rPr>
                <w:i/>
                <w:szCs w:val="18"/>
                <w:lang w:eastAsia="en-AU" w:bidi="ar-SA"/>
              </w:rPr>
              <w:t>Salmonella</w:t>
            </w:r>
            <w:r w:rsidRPr="007B5ABE">
              <w:rPr>
                <w:szCs w:val="18"/>
                <w:lang w:eastAsia="en-AU" w:bidi="ar-SA"/>
              </w:rPr>
              <w:t xml:space="preserve"> </w:t>
            </w:r>
            <w:proofErr w:type="spellStart"/>
            <w:r w:rsidRPr="007B5ABE">
              <w:rPr>
                <w:szCs w:val="18"/>
                <w:lang w:eastAsia="en-AU" w:bidi="ar-SA"/>
              </w:rPr>
              <w:t>spp</w:t>
            </w:r>
            <w:proofErr w:type="spellEnd"/>
            <w:r w:rsidRPr="007B5ABE">
              <w:rPr>
                <w:szCs w:val="18"/>
                <w:lang w:eastAsia="en-AU" w:bidi="ar-SA"/>
              </w:rPr>
              <w:t>, the ICMSF (2011) raises that</w:t>
            </w:r>
            <w:r w:rsidR="00C50E17">
              <w:rPr>
                <w:szCs w:val="18"/>
                <w:lang w:eastAsia="en-AU" w:bidi="ar-SA"/>
              </w:rPr>
              <w:t xml:space="preserve"> alternative sampling plans for routine testing are appropriate </w:t>
            </w:r>
            <w:r w:rsidRPr="007B5ABE">
              <w:rPr>
                <w:szCs w:val="18"/>
              </w:rPr>
              <w:t xml:space="preserve">“for manufacturers applying integrated sampling plans with in-process and environmental samples... end product testing for </w:t>
            </w:r>
            <w:r w:rsidRPr="007B5ABE">
              <w:rPr>
                <w:i/>
                <w:iCs/>
                <w:szCs w:val="18"/>
              </w:rPr>
              <w:t xml:space="preserve">Salmonella </w:t>
            </w:r>
            <w:r w:rsidRPr="007B5ABE">
              <w:rPr>
                <w:szCs w:val="18"/>
              </w:rPr>
              <w:t>is usually performed as verification only. Positive results of either in-process or environmental samples indicating an increased risk of its presence in the finished product should trigger a change in the sampling regime, i.e., testing of up to 60 × 25 g analytical units for release purposes may be appropriate under such conditions.”</w:t>
            </w:r>
          </w:p>
          <w:p w14:paraId="0240F283" w14:textId="77777777" w:rsidR="00EC0A83" w:rsidRPr="007B5ABE" w:rsidRDefault="00EC0A8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p>
          <w:p w14:paraId="10A443A4" w14:textId="37F3B735" w:rsidR="00EC0A83" w:rsidRPr="007B5ABE" w:rsidRDefault="00EC0A8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r w:rsidRPr="007B5ABE">
              <w:rPr>
                <w:szCs w:val="18"/>
                <w:lang w:eastAsia="en-AU" w:bidi="ar-SA"/>
              </w:rPr>
              <w:t>Industry</w:t>
            </w:r>
            <w:r w:rsidR="00C50E17">
              <w:rPr>
                <w:szCs w:val="18"/>
                <w:lang w:eastAsia="en-AU" w:bidi="ar-SA"/>
              </w:rPr>
              <w:t xml:space="preserve"> should</w:t>
            </w:r>
            <w:r w:rsidRPr="007B5ABE">
              <w:rPr>
                <w:szCs w:val="18"/>
                <w:lang w:eastAsia="en-AU" w:bidi="ar-SA"/>
              </w:rPr>
              <w:t xml:space="preserve"> already </w:t>
            </w:r>
            <w:r w:rsidR="00C50E17">
              <w:rPr>
                <w:szCs w:val="18"/>
                <w:lang w:eastAsia="en-AU" w:bidi="ar-SA"/>
              </w:rPr>
              <w:t xml:space="preserve">be </w:t>
            </w:r>
            <w:r w:rsidRPr="007B5ABE">
              <w:rPr>
                <w:szCs w:val="18"/>
                <w:lang w:eastAsia="en-AU" w:bidi="ar-SA"/>
              </w:rPr>
              <w:t>operat</w:t>
            </w:r>
            <w:r w:rsidR="00C50E17">
              <w:rPr>
                <w:szCs w:val="18"/>
                <w:lang w:eastAsia="en-AU" w:bidi="ar-SA"/>
              </w:rPr>
              <w:t>ing</w:t>
            </w:r>
            <w:r w:rsidRPr="007B5ABE">
              <w:rPr>
                <w:szCs w:val="18"/>
                <w:lang w:eastAsia="en-AU" w:bidi="ar-SA"/>
              </w:rPr>
              <w:t xml:space="preserve"> under food safety systems that include environmental and in-process sampling</w:t>
            </w:r>
            <w:r w:rsidR="00C50E17">
              <w:rPr>
                <w:szCs w:val="18"/>
                <w:lang w:eastAsia="en-AU" w:bidi="ar-SA"/>
              </w:rPr>
              <w:t>. Industry submissions are</w:t>
            </w:r>
            <w:r w:rsidRPr="007B5ABE">
              <w:rPr>
                <w:szCs w:val="18"/>
                <w:lang w:eastAsia="en-AU" w:bidi="ar-SA"/>
              </w:rPr>
              <w:t xml:space="preserve"> supportive of the stringent sampling plans proposed for </w:t>
            </w:r>
            <w:r w:rsidRPr="007B5ABE">
              <w:rPr>
                <w:i/>
                <w:szCs w:val="18"/>
                <w:lang w:eastAsia="en-AU" w:bidi="ar-SA"/>
              </w:rPr>
              <w:t>Salmonella</w:t>
            </w:r>
            <w:r w:rsidRPr="007B5ABE">
              <w:rPr>
                <w:szCs w:val="18"/>
                <w:lang w:eastAsia="en-AU" w:bidi="ar-SA"/>
              </w:rPr>
              <w:t xml:space="preserve"> and </w:t>
            </w:r>
            <w:proofErr w:type="spellStart"/>
            <w:r w:rsidRPr="007B5ABE">
              <w:rPr>
                <w:i/>
                <w:szCs w:val="18"/>
                <w:lang w:eastAsia="en-AU" w:bidi="ar-SA"/>
              </w:rPr>
              <w:t>Cronobacter</w:t>
            </w:r>
            <w:proofErr w:type="spellEnd"/>
            <w:r w:rsidRPr="007B5ABE">
              <w:rPr>
                <w:szCs w:val="18"/>
                <w:lang w:eastAsia="en-AU" w:bidi="ar-SA"/>
              </w:rPr>
              <w:t>. The cost of microbiological testing has not been raised as</w:t>
            </w:r>
            <w:r w:rsidR="00BD0DA0" w:rsidRPr="007B5ABE">
              <w:rPr>
                <w:szCs w:val="18"/>
                <w:lang w:eastAsia="en-AU" w:bidi="ar-SA"/>
              </w:rPr>
              <w:t xml:space="preserve"> an</w:t>
            </w:r>
            <w:r w:rsidRPr="007B5ABE">
              <w:rPr>
                <w:szCs w:val="18"/>
                <w:lang w:eastAsia="en-AU" w:bidi="ar-SA"/>
              </w:rPr>
              <w:t xml:space="preserve"> issue by industry groups or manufacturers. </w:t>
            </w:r>
          </w:p>
          <w:p w14:paraId="08C398F7" w14:textId="77777777" w:rsidR="00EC0A83" w:rsidRPr="007B5ABE" w:rsidRDefault="00EC0A8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p>
          <w:p w14:paraId="325094DA" w14:textId="7CB4572F" w:rsidR="00EC0A83" w:rsidRPr="007B5ABE" w:rsidRDefault="00EC0A8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sidRPr="007B5ABE">
              <w:rPr>
                <w:szCs w:val="18"/>
                <w:lang w:eastAsia="en-AU" w:bidi="ar-SA"/>
              </w:rPr>
              <w:t>When testing a large number of samples is required (such as n=30 or 60), it is possible to composite multiple samples thereby increasing efficiency, and reducing the workload and cost of testing.</w:t>
            </w:r>
          </w:p>
        </w:tc>
      </w:tr>
      <w:tr w:rsidR="00EC0A83" w14:paraId="325094DF" w14:textId="77777777" w:rsidTr="00BC6A11">
        <w:trPr>
          <w:cnfStyle w:val="000000010000" w:firstRow="0" w:lastRow="0" w:firstColumn="0" w:lastColumn="0" w:oddVBand="0" w:evenVBand="0" w:oddHBand="0" w:evenHBand="1" w:firstRowFirstColumn="0" w:firstRowLastColumn="0" w:lastRowFirstColumn="0" w:lastRowLastColumn="0"/>
          <w:cantSplit/>
          <w:trHeight w:val="2798"/>
        </w:trPr>
        <w:tc>
          <w:tcPr>
            <w:cnfStyle w:val="001000000000" w:firstRow="0" w:lastRow="0" w:firstColumn="1" w:lastColumn="0" w:oddVBand="0" w:evenVBand="0" w:oddHBand="0" w:evenHBand="0" w:firstRowFirstColumn="0" w:firstRowLastColumn="0" w:lastRowFirstColumn="0" w:lastRowLastColumn="0"/>
            <w:tcW w:w="3652" w:type="dxa"/>
            <w:tcBorders>
              <w:right w:val="none" w:sz="0" w:space="0" w:color="auto"/>
            </w:tcBorders>
          </w:tcPr>
          <w:p w14:paraId="41F41416" w14:textId="039253F3" w:rsidR="00B7592E" w:rsidRPr="007B5ABE" w:rsidRDefault="00BC6A11" w:rsidP="00B31BDB">
            <w:pPr>
              <w:pStyle w:val="Table2"/>
              <w:ind w:left="113" w:hanging="113"/>
              <w:rPr>
                <w:b w:val="0"/>
                <w:bCs/>
                <w:szCs w:val="18"/>
                <w:lang w:eastAsia="en-AU" w:bidi="ar-SA"/>
              </w:rPr>
            </w:pPr>
            <w:r w:rsidRPr="007B5ABE">
              <w:rPr>
                <w:b w:val="0"/>
                <w:bCs/>
                <w:szCs w:val="18"/>
                <w:lang w:eastAsia="en-AU" w:bidi="ar-SA"/>
              </w:rPr>
              <w:lastRenderedPageBreak/>
              <w:t xml:space="preserve">Removal of limits for </w:t>
            </w:r>
            <w:r w:rsidRPr="00B31BDB">
              <w:rPr>
                <w:i/>
                <w:szCs w:val="18"/>
                <w:lang w:eastAsia="en-AU" w:bidi="ar-SA"/>
              </w:rPr>
              <w:t>Bacillus cereus</w:t>
            </w:r>
            <w:r w:rsidR="00B7592E" w:rsidRPr="007B5ABE">
              <w:rPr>
                <w:b w:val="0"/>
                <w:bCs/>
                <w:szCs w:val="18"/>
                <w:lang w:eastAsia="en-AU" w:bidi="ar-SA"/>
              </w:rPr>
              <w:t xml:space="preserve"> </w:t>
            </w:r>
            <w:r w:rsidR="00AA7DC5" w:rsidRPr="007B5ABE">
              <w:rPr>
                <w:b w:val="0"/>
                <w:bCs/>
                <w:szCs w:val="18"/>
                <w:lang w:eastAsia="en-AU" w:bidi="ar-SA"/>
              </w:rPr>
              <w:t>– mishandling and temperature abuse may cause food poisoning</w:t>
            </w:r>
          </w:p>
          <w:p w14:paraId="3F0969DE" w14:textId="77777777" w:rsidR="00B7592E" w:rsidRPr="007B5ABE" w:rsidRDefault="00B7592E" w:rsidP="00B31BDB">
            <w:pPr>
              <w:pStyle w:val="Table2"/>
              <w:ind w:left="113" w:hanging="113"/>
              <w:rPr>
                <w:b w:val="0"/>
                <w:bCs/>
                <w:szCs w:val="18"/>
                <w:lang w:eastAsia="en-AU" w:bidi="ar-SA"/>
              </w:rPr>
            </w:pPr>
          </w:p>
          <w:p w14:paraId="57E614AB" w14:textId="77777777" w:rsidR="00B7592E" w:rsidRPr="007B5ABE" w:rsidRDefault="00B7592E" w:rsidP="00B31BDB">
            <w:pPr>
              <w:pStyle w:val="Table2"/>
              <w:ind w:left="113" w:hanging="113"/>
              <w:rPr>
                <w:b w:val="0"/>
                <w:bCs/>
                <w:szCs w:val="18"/>
                <w:lang w:eastAsia="en-AU" w:bidi="ar-SA"/>
              </w:rPr>
            </w:pPr>
          </w:p>
          <w:p w14:paraId="30B3BC2A" w14:textId="77777777" w:rsidR="00B7592E" w:rsidRPr="007B5ABE" w:rsidRDefault="00B7592E" w:rsidP="00B31BDB">
            <w:pPr>
              <w:pStyle w:val="Table2"/>
              <w:ind w:left="113" w:hanging="113"/>
              <w:rPr>
                <w:b w:val="0"/>
                <w:bCs/>
                <w:szCs w:val="18"/>
                <w:lang w:eastAsia="en-AU" w:bidi="ar-SA"/>
              </w:rPr>
            </w:pPr>
          </w:p>
          <w:p w14:paraId="7A465B24" w14:textId="77777777" w:rsidR="00B7592E" w:rsidRPr="007B5ABE" w:rsidRDefault="00B7592E" w:rsidP="00B31BDB">
            <w:pPr>
              <w:pStyle w:val="Table2"/>
              <w:ind w:left="113" w:hanging="113"/>
              <w:rPr>
                <w:b w:val="0"/>
                <w:bCs/>
                <w:szCs w:val="18"/>
                <w:lang w:eastAsia="en-AU" w:bidi="ar-SA"/>
              </w:rPr>
            </w:pPr>
          </w:p>
          <w:p w14:paraId="2A65198F" w14:textId="67954CCF" w:rsidR="00AA7DC5" w:rsidRPr="007B5ABE" w:rsidRDefault="00B7592E" w:rsidP="00B31BDB">
            <w:pPr>
              <w:pStyle w:val="Table2"/>
              <w:ind w:left="113" w:hanging="113"/>
              <w:rPr>
                <w:b w:val="0"/>
                <w:bCs/>
                <w:szCs w:val="18"/>
                <w:lang w:eastAsia="en-AU" w:bidi="ar-SA"/>
              </w:rPr>
            </w:pPr>
            <w:r w:rsidRPr="007B5ABE">
              <w:rPr>
                <w:b w:val="0"/>
                <w:bCs/>
                <w:szCs w:val="18"/>
                <w:lang w:eastAsia="en-AU" w:bidi="ar-SA"/>
              </w:rPr>
              <w:t>Removal of limits for coagulase positive staphylococcus and</w:t>
            </w:r>
            <w:r w:rsidR="00AA7DC5" w:rsidRPr="007B5ABE">
              <w:rPr>
                <w:b w:val="0"/>
                <w:bCs/>
                <w:szCs w:val="18"/>
                <w:lang w:eastAsia="en-AU" w:bidi="ar-SA"/>
              </w:rPr>
              <w:t xml:space="preserve"> coliforms – may be required for testing in overseas countries and so should be retained.</w:t>
            </w:r>
          </w:p>
          <w:p w14:paraId="325094DC" w14:textId="4AB55AB1" w:rsidR="00EC0A83" w:rsidRPr="007B5ABE" w:rsidRDefault="00EC0A83" w:rsidP="00B31BDB">
            <w:pPr>
              <w:pStyle w:val="Table2"/>
              <w:ind w:left="113" w:hanging="113"/>
              <w:rPr>
                <w:b w:val="0"/>
                <w:bCs/>
                <w:szCs w:val="18"/>
                <w:lang w:eastAsia="en-AU" w:bidi="ar-SA"/>
              </w:rPr>
            </w:pPr>
          </w:p>
        </w:tc>
        <w:tc>
          <w:tcPr>
            <w:tcW w:w="3402" w:type="dxa"/>
            <w:tcBorders>
              <w:left w:val="none" w:sz="0" w:space="0" w:color="auto"/>
              <w:right w:val="none" w:sz="0" w:space="0" w:color="auto"/>
            </w:tcBorders>
          </w:tcPr>
          <w:p w14:paraId="24295D0E" w14:textId="7AD11D23" w:rsidR="00AA7DC5" w:rsidRPr="007B5ABE" w:rsidRDefault="00B7592E" w:rsidP="00B31BDB">
            <w:pPr>
              <w:ind w:left="113" w:hanging="113"/>
              <w:cnfStyle w:val="000000010000" w:firstRow="0" w:lastRow="0" w:firstColumn="0" w:lastColumn="0" w:oddVBand="0" w:evenVBand="0" w:oddHBand="0" w:evenHBand="1" w:firstRowFirstColumn="0" w:firstRowLastColumn="0" w:lastRowFirstColumn="0" w:lastRowLastColumn="0"/>
              <w:rPr>
                <w:bCs/>
                <w:sz w:val="18"/>
                <w:szCs w:val="18"/>
                <w:lang w:eastAsia="en-AU" w:bidi="ar-SA"/>
              </w:rPr>
            </w:pPr>
            <w:r w:rsidRPr="007B5ABE">
              <w:rPr>
                <w:bCs/>
                <w:sz w:val="18"/>
                <w:szCs w:val="18"/>
                <w:lang w:eastAsia="en-AU" w:bidi="ar-SA"/>
              </w:rPr>
              <w:t>Dairy Food Safety Victoria (DFSV) and the Victorian Departments of Health and Human</w:t>
            </w:r>
            <w:r w:rsidR="007B5ABE">
              <w:rPr>
                <w:bCs/>
                <w:sz w:val="18"/>
                <w:szCs w:val="18"/>
                <w:lang w:eastAsia="en-AU" w:bidi="ar-SA"/>
              </w:rPr>
              <w:t xml:space="preserve"> </w:t>
            </w:r>
            <w:r w:rsidRPr="007B5ABE">
              <w:rPr>
                <w:sz w:val="18"/>
                <w:szCs w:val="18"/>
                <w:lang w:eastAsia="en-AU" w:bidi="ar-SA"/>
              </w:rPr>
              <w:t>Services and Economic Development, Jobs, Transport and Resources</w:t>
            </w:r>
          </w:p>
          <w:p w14:paraId="755A6B0C" w14:textId="77777777" w:rsidR="00AA7DC5" w:rsidRPr="007B5ABE" w:rsidRDefault="00AA7DC5"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p>
          <w:p w14:paraId="28C9A352" w14:textId="77777777" w:rsidR="00AA7DC5" w:rsidRPr="007B5ABE" w:rsidRDefault="00AA7DC5"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p>
          <w:p w14:paraId="325094DD" w14:textId="4252A339" w:rsidR="00EC0A83" w:rsidRPr="001C113D" w:rsidRDefault="00AA7DC5"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r w:rsidRPr="001C113D">
              <w:rPr>
                <w:szCs w:val="18"/>
                <w:lang w:eastAsia="en-AU" w:bidi="ar-SA"/>
              </w:rPr>
              <w:t>Food Technology Association of Australia</w:t>
            </w:r>
          </w:p>
        </w:tc>
        <w:tc>
          <w:tcPr>
            <w:tcW w:w="7131" w:type="dxa"/>
            <w:tcBorders>
              <w:left w:val="none" w:sz="0" w:space="0" w:color="auto"/>
            </w:tcBorders>
          </w:tcPr>
          <w:p w14:paraId="421FCE41" w14:textId="77BE8DFA" w:rsidR="00BC6A11" w:rsidRPr="007B5ABE" w:rsidRDefault="00BC6A11"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r w:rsidRPr="007B5ABE">
              <w:rPr>
                <w:szCs w:val="18"/>
              </w:rPr>
              <w:t xml:space="preserve">The risk assessment work undertaken by the WHO/FAO Expert Consultation (2004) categorised </w:t>
            </w:r>
            <w:r w:rsidRPr="007B5ABE">
              <w:rPr>
                <w:i/>
                <w:szCs w:val="18"/>
              </w:rPr>
              <w:t>Staphylococcus aureus</w:t>
            </w:r>
            <w:r w:rsidRPr="007B5ABE">
              <w:rPr>
                <w:szCs w:val="18"/>
              </w:rPr>
              <w:t xml:space="preserve"> and </w:t>
            </w:r>
            <w:r w:rsidRPr="007B5ABE">
              <w:rPr>
                <w:i/>
                <w:szCs w:val="18"/>
              </w:rPr>
              <w:t>Bacillus cereus</w:t>
            </w:r>
            <w:r w:rsidRPr="007B5ABE">
              <w:rPr>
                <w:szCs w:val="18"/>
              </w:rPr>
              <w:t xml:space="preserve"> as “</w:t>
            </w:r>
            <w:r w:rsidRPr="007B5ABE">
              <w:rPr>
                <w:szCs w:val="18"/>
                <w:lang w:eastAsia="en-AU" w:bidi="ar-SA"/>
              </w:rPr>
              <w:t xml:space="preserve">Microorganisms for which causality with illness is less plausible or not yet demonstrated” (Category C). This was based on a lack of evidence that these microorganisms cause illness in infants fed powdered infant formula. It is generally accepted that low levels (&lt;100 </w:t>
            </w:r>
            <w:proofErr w:type="spellStart"/>
            <w:r w:rsidRPr="007B5ABE">
              <w:rPr>
                <w:szCs w:val="18"/>
                <w:lang w:eastAsia="en-AU" w:bidi="ar-SA"/>
              </w:rPr>
              <w:t>cfu</w:t>
            </w:r>
            <w:proofErr w:type="spellEnd"/>
            <w:r w:rsidRPr="007B5ABE">
              <w:rPr>
                <w:szCs w:val="18"/>
                <w:lang w:eastAsia="en-AU" w:bidi="ar-SA"/>
              </w:rPr>
              <w:t xml:space="preserve">/g) of these microorganisms may be present and would be managed through product preparation and handling instructions (ICMSF, 2011). It may be expected that these hazards would </w:t>
            </w:r>
            <w:r w:rsidR="00C50E17">
              <w:rPr>
                <w:szCs w:val="18"/>
                <w:lang w:eastAsia="en-AU" w:bidi="ar-SA"/>
              </w:rPr>
              <w:t xml:space="preserve">be </w:t>
            </w:r>
            <w:r w:rsidRPr="007B5ABE">
              <w:rPr>
                <w:szCs w:val="18"/>
                <w:lang w:eastAsia="en-AU" w:bidi="ar-SA"/>
              </w:rPr>
              <w:t xml:space="preserve">managed under a </w:t>
            </w:r>
            <w:r w:rsidR="00C85E10" w:rsidRPr="007B5ABE">
              <w:rPr>
                <w:szCs w:val="18"/>
                <w:lang w:eastAsia="en-AU" w:bidi="ar-SA"/>
              </w:rPr>
              <w:t>manufacturer’s</w:t>
            </w:r>
            <w:r w:rsidRPr="007B5ABE">
              <w:rPr>
                <w:szCs w:val="18"/>
                <w:lang w:eastAsia="en-AU" w:bidi="ar-SA"/>
              </w:rPr>
              <w:t xml:space="preserve"> food safety program or HACCP plan through controls/specifications on critical ingredients.</w:t>
            </w:r>
          </w:p>
          <w:p w14:paraId="59387BD6" w14:textId="77777777" w:rsidR="00BC6A11" w:rsidRPr="007B5ABE" w:rsidRDefault="00BC6A11"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p>
          <w:p w14:paraId="66F3B3FB" w14:textId="74181ED6" w:rsidR="00BC6A11" w:rsidRPr="007B5ABE" w:rsidRDefault="00BC6A11"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r w:rsidRPr="007B5ABE">
              <w:rPr>
                <w:szCs w:val="18"/>
                <w:lang w:eastAsia="en-AU" w:bidi="ar-SA"/>
              </w:rPr>
              <w:t xml:space="preserve">The majority of submissions support </w:t>
            </w:r>
            <w:r w:rsidR="002A1F5E">
              <w:rPr>
                <w:szCs w:val="18"/>
                <w:lang w:eastAsia="en-AU" w:bidi="ar-SA"/>
              </w:rPr>
              <w:t>deleting</w:t>
            </w:r>
            <w:r w:rsidRPr="007B5ABE">
              <w:rPr>
                <w:szCs w:val="18"/>
                <w:lang w:eastAsia="en-AU" w:bidi="ar-SA"/>
              </w:rPr>
              <w:t xml:space="preserve"> limits for coagulase positive staphylococcus and </w:t>
            </w:r>
            <w:r w:rsidRPr="007B5ABE">
              <w:rPr>
                <w:i/>
                <w:szCs w:val="18"/>
                <w:lang w:eastAsia="en-AU" w:bidi="ar-SA"/>
              </w:rPr>
              <w:t>B. cereus</w:t>
            </w:r>
            <w:r w:rsidRPr="007B5ABE">
              <w:rPr>
                <w:szCs w:val="18"/>
                <w:lang w:eastAsia="en-AU" w:bidi="ar-SA"/>
              </w:rPr>
              <w:t xml:space="preserve"> from the Code.</w:t>
            </w:r>
          </w:p>
          <w:p w14:paraId="4A357B4D" w14:textId="2520C992" w:rsidR="00AA7DC5" w:rsidRPr="007B5ABE" w:rsidRDefault="00AA7DC5"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p>
          <w:p w14:paraId="64599618" w14:textId="77777777" w:rsidR="00EC0A83" w:rsidRDefault="001C113D"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r w:rsidRPr="007B5ABE">
              <w:rPr>
                <w:szCs w:val="18"/>
                <w:lang w:eastAsia="en-AU" w:bidi="ar-SA"/>
              </w:rPr>
              <w:t xml:space="preserve">Aligning with internationally agreed microbiological criteria established by Codex </w:t>
            </w:r>
            <w:r w:rsidR="00513B73" w:rsidRPr="007B5ABE">
              <w:rPr>
                <w:szCs w:val="18"/>
                <w:lang w:eastAsia="en-AU" w:bidi="ar-SA"/>
              </w:rPr>
              <w:t xml:space="preserve">should also </w:t>
            </w:r>
            <w:r w:rsidR="00EA3F24" w:rsidRPr="007B5ABE">
              <w:rPr>
                <w:szCs w:val="18"/>
                <w:lang w:eastAsia="en-AU" w:bidi="ar-SA"/>
              </w:rPr>
              <w:t>support</w:t>
            </w:r>
            <w:r w:rsidR="00513B73" w:rsidRPr="007B5ABE">
              <w:rPr>
                <w:szCs w:val="18"/>
                <w:lang w:eastAsia="en-AU" w:bidi="ar-SA"/>
              </w:rPr>
              <w:t xml:space="preserve"> trade. Additional testing requirements may be imposed by importing countries however this is not a reason for retaining unnecessary microbiological criteria in the Code.  </w:t>
            </w:r>
          </w:p>
          <w:p w14:paraId="325094DE" w14:textId="300286EA" w:rsidR="00C50E17" w:rsidRPr="007B5ABE" w:rsidRDefault="00C50E17"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p>
        </w:tc>
      </w:tr>
      <w:tr w:rsidR="00EC0A83" w14:paraId="325094E3" w14:textId="77777777" w:rsidTr="00C301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52" w:type="dxa"/>
            <w:tcBorders>
              <w:bottom w:val="single" w:sz="4" w:space="0" w:color="auto"/>
              <w:right w:val="none" w:sz="0" w:space="0" w:color="auto"/>
            </w:tcBorders>
          </w:tcPr>
          <w:p w14:paraId="00943CC0" w14:textId="51EB40A8" w:rsidR="00BC6A11" w:rsidRPr="007B5ABE" w:rsidRDefault="00BC6A11" w:rsidP="00B31BDB">
            <w:pPr>
              <w:pStyle w:val="Table2"/>
              <w:ind w:left="113" w:hanging="113"/>
              <w:rPr>
                <w:b w:val="0"/>
                <w:bCs/>
                <w:szCs w:val="18"/>
                <w:lang w:eastAsia="en-AU" w:bidi="ar-SA"/>
              </w:rPr>
            </w:pPr>
            <w:r w:rsidRPr="007B5ABE">
              <w:rPr>
                <w:b w:val="0"/>
                <w:bCs/>
                <w:szCs w:val="18"/>
                <w:lang w:eastAsia="en-AU" w:bidi="ar-SA"/>
              </w:rPr>
              <w:t>Terminology – Mesophilic Aerobic Bacteria not as well understood as Standard Plate Count or Aerobic Plate Count</w:t>
            </w:r>
          </w:p>
          <w:p w14:paraId="325094E0" w14:textId="44A81E03" w:rsidR="00EC0A83" w:rsidRPr="007B5ABE" w:rsidRDefault="00EC0A83" w:rsidP="00B31BDB">
            <w:pPr>
              <w:pStyle w:val="Table2"/>
              <w:ind w:left="113" w:hanging="113"/>
              <w:rPr>
                <w:b w:val="0"/>
                <w:bCs/>
                <w:szCs w:val="18"/>
                <w:lang w:eastAsia="en-AU" w:bidi="ar-SA"/>
              </w:rPr>
            </w:pPr>
          </w:p>
        </w:tc>
        <w:tc>
          <w:tcPr>
            <w:tcW w:w="3402" w:type="dxa"/>
            <w:tcBorders>
              <w:left w:val="none" w:sz="0" w:space="0" w:color="auto"/>
              <w:bottom w:val="single" w:sz="4" w:space="0" w:color="auto"/>
              <w:right w:val="none" w:sz="0" w:space="0" w:color="auto"/>
            </w:tcBorders>
          </w:tcPr>
          <w:p w14:paraId="0970FFBC" w14:textId="77777777" w:rsidR="0071000C" w:rsidRPr="007B5ABE" w:rsidRDefault="0071000C" w:rsidP="00B31BDB">
            <w:pPr>
              <w:ind w:left="113" w:hanging="113"/>
              <w:cnfStyle w:val="000000100000" w:firstRow="0" w:lastRow="0" w:firstColumn="0" w:lastColumn="0" w:oddVBand="0" w:evenVBand="0" w:oddHBand="1" w:evenHBand="0" w:firstRowFirstColumn="0" w:firstRowLastColumn="0" w:lastRowFirstColumn="0" w:lastRowLastColumn="0"/>
              <w:rPr>
                <w:bCs/>
                <w:sz w:val="18"/>
                <w:szCs w:val="18"/>
                <w:lang w:eastAsia="en-AU" w:bidi="ar-SA"/>
              </w:rPr>
            </w:pPr>
            <w:r w:rsidRPr="007B5ABE">
              <w:rPr>
                <w:bCs/>
                <w:sz w:val="18"/>
                <w:szCs w:val="18"/>
                <w:lang w:eastAsia="en-AU" w:bidi="ar-SA"/>
              </w:rPr>
              <w:t>Dairy Food Safety Victoria (DFSV) and the Victorian Departments of Health and Human</w:t>
            </w:r>
            <w:r>
              <w:rPr>
                <w:bCs/>
                <w:sz w:val="18"/>
                <w:szCs w:val="18"/>
                <w:lang w:eastAsia="en-AU" w:bidi="ar-SA"/>
              </w:rPr>
              <w:t xml:space="preserve"> </w:t>
            </w:r>
            <w:r w:rsidRPr="007B5ABE">
              <w:rPr>
                <w:sz w:val="18"/>
                <w:szCs w:val="18"/>
                <w:lang w:eastAsia="en-AU" w:bidi="ar-SA"/>
              </w:rPr>
              <w:t>Services and Economic Development, Jobs, Transport and Resources</w:t>
            </w:r>
          </w:p>
          <w:p w14:paraId="325094E1" w14:textId="77777777" w:rsidR="00EC0A83" w:rsidRPr="007B5ABE" w:rsidRDefault="00EC0A8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p>
        </w:tc>
        <w:tc>
          <w:tcPr>
            <w:tcW w:w="7131" w:type="dxa"/>
            <w:tcBorders>
              <w:left w:val="none" w:sz="0" w:space="0" w:color="auto"/>
              <w:bottom w:val="single" w:sz="4" w:space="0" w:color="auto"/>
            </w:tcBorders>
          </w:tcPr>
          <w:p w14:paraId="64EA30D9" w14:textId="0AA693FE" w:rsidR="00EC0A83" w:rsidRPr="007B5ABE" w:rsidRDefault="00475E36"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val="en"/>
              </w:rPr>
            </w:pPr>
            <w:r w:rsidRPr="007B5ABE">
              <w:rPr>
                <w:szCs w:val="18"/>
              </w:rPr>
              <w:t>Mesophilic aerobic bacteria are the group of microorganisms that are being tested for. The test method used generally has been referred to as a Standard Plate Count or Aerobic Plate Count. The applicable Australian Standard and ISO methods (AS 5013.5 – 2004 and ISO 4833 – 1:2013) are described as “</w:t>
            </w:r>
            <w:r w:rsidRPr="007B5ABE">
              <w:rPr>
                <w:szCs w:val="18"/>
                <w:lang w:val="en"/>
              </w:rPr>
              <w:t>horizontal methods for enumeration of microorganisms that are able to grow and form colonies in a solid medium after aerobic incubation at 30 °C”.</w:t>
            </w:r>
          </w:p>
          <w:p w14:paraId="36012106" w14:textId="77777777" w:rsidR="00475E36" w:rsidRPr="007B5ABE" w:rsidRDefault="00475E36"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val="en"/>
              </w:rPr>
            </w:pPr>
          </w:p>
          <w:p w14:paraId="33A98663" w14:textId="77777777" w:rsidR="00475E36" w:rsidRDefault="00C85E10"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val="en"/>
              </w:rPr>
            </w:pPr>
            <w:r w:rsidRPr="007B5ABE">
              <w:rPr>
                <w:szCs w:val="18"/>
                <w:lang w:val="en"/>
              </w:rPr>
              <w:t>Process hygiene criteria have</w:t>
            </w:r>
            <w:r w:rsidR="00501351" w:rsidRPr="007B5ABE">
              <w:rPr>
                <w:szCs w:val="18"/>
                <w:lang w:val="en"/>
              </w:rPr>
              <w:t xml:space="preserve"> been proposed for Mesophilic Aerobic Bacteria, not a test method.</w:t>
            </w:r>
            <w:r w:rsidR="00C50E17">
              <w:rPr>
                <w:szCs w:val="18"/>
                <w:lang w:val="en"/>
              </w:rPr>
              <w:t xml:space="preserve"> </w:t>
            </w:r>
          </w:p>
          <w:p w14:paraId="325094E2" w14:textId="5792ED96" w:rsidR="00C301B3" w:rsidRPr="007B5ABE" w:rsidRDefault="00C301B3"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val="en"/>
              </w:rPr>
            </w:pPr>
          </w:p>
        </w:tc>
      </w:tr>
      <w:tr w:rsidR="00CD2DA3" w14:paraId="1529B808" w14:textId="77777777" w:rsidTr="00C301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52" w:type="dxa"/>
            <w:tcBorders>
              <w:bottom w:val="single" w:sz="4" w:space="0" w:color="auto"/>
              <w:right w:val="single" w:sz="4" w:space="0" w:color="auto"/>
            </w:tcBorders>
          </w:tcPr>
          <w:p w14:paraId="435875BC" w14:textId="77777777" w:rsidR="00CD2DA3" w:rsidRDefault="00CD2DA3" w:rsidP="00B31BDB">
            <w:pPr>
              <w:pStyle w:val="Table2"/>
              <w:ind w:left="113" w:hanging="113"/>
              <w:rPr>
                <w:rFonts w:cs="Arial"/>
                <w:b w:val="0"/>
                <w:sz w:val="20"/>
                <w:lang w:val="en-US"/>
              </w:rPr>
            </w:pPr>
            <w:r>
              <w:rPr>
                <w:rFonts w:cs="Arial"/>
                <w:b w:val="0"/>
                <w:sz w:val="20"/>
                <w:lang w:val="en-US"/>
              </w:rPr>
              <w:t>Both the names</w:t>
            </w:r>
            <w:r w:rsidRPr="00CD2DA3">
              <w:rPr>
                <w:rFonts w:cs="Arial"/>
                <w:b w:val="0"/>
                <w:sz w:val="20"/>
                <w:lang w:val="en-US"/>
              </w:rPr>
              <w:t xml:space="preserve"> </w:t>
            </w:r>
            <w:r>
              <w:rPr>
                <w:rFonts w:cs="Arial"/>
                <w:b w:val="0"/>
                <w:sz w:val="20"/>
                <w:lang w:val="en-US"/>
              </w:rPr>
              <w:t>“</w:t>
            </w:r>
            <w:proofErr w:type="spellStart"/>
            <w:r w:rsidRPr="00CD2DA3">
              <w:rPr>
                <w:rFonts w:cs="Arial"/>
                <w:b w:val="0"/>
                <w:i/>
                <w:sz w:val="20"/>
                <w:lang w:val="en-US"/>
              </w:rPr>
              <w:t>Cronobacter</w:t>
            </w:r>
            <w:proofErr w:type="spellEnd"/>
            <w:r>
              <w:rPr>
                <w:rFonts w:cs="Arial"/>
                <w:b w:val="0"/>
                <w:i/>
                <w:sz w:val="20"/>
                <w:lang w:val="en-US"/>
              </w:rPr>
              <w:t>”</w:t>
            </w:r>
            <w:r w:rsidRPr="00CD2DA3">
              <w:rPr>
                <w:rFonts w:cs="Arial"/>
                <w:b w:val="0"/>
                <w:sz w:val="20"/>
                <w:lang w:val="en-US"/>
              </w:rPr>
              <w:t xml:space="preserve"> and </w:t>
            </w:r>
            <w:r>
              <w:rPr>
                <w:rFonts w:cs="Arial"/>
                <w:b w:val="0"/>
                <w:sz w:val="20"/>
                <w:lang w:val="en-US"/>
              </w:rPr>
              <w:t>“</w:t>
            </w:r>
            <w:r w:rsidRPr="00CD2DA3">
              <w:rPr>
                <w:rFonts w:cs="Arial"/>
                <w:b w:val="0"/>
                <w:i/>
                <w:sz w:val="20"/>
                <w:lang w:val="en-US"/>
              </w:rPr>
              <w:t>Enterobacter</w:t>
            </w:r>
            <w:r w:rsidRPr="00CD2DA3">
              <w:rPr>
                <w:rFonts w:cs="Arial"/>
                <w:b w:val="0"/>
                <w:sz w:val="20"/>
                <w:lang w:val="en-US"/>
              </w:rPr>
              <w:t xml:space="preserve"> </w:t>
            </w:r>
            <w:proofErr w:type="spellStart"/>
            <w:r w:rsidRPr="00CD2DA3">
              <w:rPr>
                <w:rFonts w:cs="Arial"/>
                <w:b w:val="0"/>
                <w:i/>
                <w:sz w:val="20"/>
                <w:lang w:val="en-US"/>
              </w:rPr>
              <w:t>sakazakii</w:t>
            </w:r>
            <w:proofErr w:type="spellEnd"/>
            <w:r>
              <w:rPr>
                <w:rFonts w:cs="Arial"/>
                <w:b w:val="0"/>
                <w:i/>
                <w:sz w:val="20"/>
                <w:lang w:val="en-US"/>
              </w:rPr>
              <w:t xml:space="preserve">” </w:t>
            </w:r>
            <w:r w:rsidRPr="00CD2DA3">
              <w:rPr>
                <w:rFonts w:cs="Arial"/>
                <w:b w:val="0"/>
                <w:sz w:val="20"/>
                <w:lang w:val="en-US"/>
              </w:rPr>
              <w:t>should be included</w:t>
            </w:r>
            <w:r>
              <w:rPr>
                <w:rFonts w:cs="Arial"/>
                <w:b w:val="0"/>
                <w:i/>
                <w:sz w:val="20"/>
                <w:lang w:val="en-US"/>
              </w:rPr>
              <w:t xml:space="preserve"> </w:t>
            </w:r>
            <w:r w:rsidRPr="00CD2DA3">
              <w:rPr>
                <w:rFonts w:cs="Arial"/>
                <w:b w:val="0"/>
                <w:sz w:val="20"/>
                <w:lang w:val="en-US"/>
              </w:rPr>
              <w:t>for referenc</w:t>
            </w:r>
            <w:r>
              <w:rPr>
                <w:rFonts w:cs="Arial"/>
                <w:b w:val="0"/>
                <w:sz w:val="20"/>
                <w:lang w:val="en-US"/>
              </w:rPr>
              <w:t xml:space="preserve">e for a nominated period (12 months) </w:t>
            </w:r>
          </w:p>
          <w:p w14:paraId="3F940EE9" w14:textId="6D579116" w:rsidR="00C301B3" w:rsidRPr="00CD2DA3" w:rsidRDefault="00C301B3" w:rsidP="00B31BDB">
            <w:pPr>
              <w:pStyle w:val="Table2"/>
              <w:ind w:left="113" w:hanging="113"/>
              <w:rPr>
                <w:b w:val="0"/>
                <w:bCs/>
                <w:szCs w:val="18"/>
                <w:lang w:eastAsia="en-AU" w:bidi="ar-SA"/>
              </w:rPr>
            </w:pPr>
          </w:p>
        </w:tc>
        <w:tc>
          <w:tcPr>
            <w:tcW w:w="3402" w:type="dxa"/>
            <w:tcBorders>
              <w:left w:val="single" w:sz="4" w:space="0" w:color="auto"/>
              <w:bottom w:val="single" w:sz="4" w:space="0" w:color="auto"/>
              <w:right w:val="single" w:sz="4" w:space="0" w:color="auto"/>
            </w:tcBorders>
          </w:tcPr>
          <w:p w14:paraId="2E0CD684" w14:textId="5365F8AB" w:rsidR="00CD2DA3" w:rsidRPr="007B5ABE" w:rsidRDefault="00CD2DA3" w:rsidP="00B31BDB">
            <w:pPr>
              <w:ind w:left="113" w:hanging="113"/>
              <w:cnfStyle w:val="000000010000" w:firstRow="0" w:lastRow="0" w:firstColumn="0" w:lastColumn="0" w:oddVBand="0" w:evenVBand="0" w:oddHBand="0" w:evenHBand="1" w:firstRowFirstColumn="0" w:firstRowLastColumn="0" w:lastRowFirstColumn="0" w:lastRowLastColumn="0"/>
              <w:rPr>
                <w:bCs/>
                <w:sz w:val="18"/>
                <w:szCs w:val="18"/>
                <w:lang w:eastAsia="en-AU" w:bidi="ar-SA"/>
              </w:rPr>
            </w:pPr>
            <w:r>
              <w:rPr>
                <w:bCs/>
                <w:sz w:val="18"/>
                <w:szCs w:val="18"/>
                <w:lang w:eastAsia="en-AU" w:bidi="ar-SA"/>
              </w:rPr>
              <w:t>Food Technology Association of Australia</w:t>
            </w:r>
          </w:p>
        </w:tc>
        <w:tc>
          <w:tcPr>
            <w:tcW w:w="7131" w:type="dxa"/>
            <w:tcBorders>
              <w:left w:val="single" w:sz="4" w:space="0" w:color="auto"/>
              <w:bottom w:val="single" w:sz="4" w:space="0" w:color="auto"/>
            </w:tcBorders>
          </w:tcPr>
          <w:p w14:paraId="3D8E3F93" w14:textId="4CEAE2B4" w:rsidR="00CD2DA3" w:rsidRPr="007B5ABE" w:rsidRDefault="00CD2DA3"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r>
              <w:rPr>
                <w:szCs w:val="18"/>
              </w:rPr>
              <w:t xml:space="preserve">As a result of reclassification and increased understanding of the taxonomy, the correct nomenclature is now </w:t>
            </w:r>
            <w:proofErr w:type="spellStart"/>
            <w:r w:rsidRPr="00CD2DA3">
              <w:rPr>
                <w:i/>
                <w:szCs w:val="18"/>
              </w:rPr>
              <w:t>Cronobacter</w:t>
            </w:r>
            <w:proofErr w:type="spellEnd"/>
            <w:r w:rsidRPr="00CD2DA3">
              <w:rPr>
                <w:i/>
                <w:szCs w:val="18"/>
              </w:rPr>
              <w:t xml:space="preserve"> </w:t>
            </w:r>
            <w:r>
              <w:rPr>
                <w:i/>
                <w:szCs w:val="18"/>
              </w:rPr>
              <w:t>(</w:t>
            </w:r>
            <w:r>
              <w:rPr>
                <w:szCs w:val="18"/>
              </w:rPr>
              <w:t>see section 3.1.1 in SD1)</w:t>
            </w:r>
            <w:r w:rsidR="00984E58">
              <w:rPr>
                <w:szCs w:val="18"/>
              </w:rPr>
              <w:t xml:space="preserve"> and this will be the name included in the Code.</w:t>
            </w:r>
          </w:p>
        </w:tc>
      </w:tr>
      <w:tr w:rsidR="0071000C" w14:paraId="0A5AF752" w14:textId="77777777" w:rsidTr="00C85E10">
        <w:trPr>
          <w:cnfStyle w:val="000000100000" w:firstRow="0" w:lastRow="0" w:firstColumn="0" w:lastColumn="0" w:oddVBand="0" w:evenVBand="0" w:oddHBand="1" w:evenHBand="0" w:firstRowFirstColumn="0" w:firstRowLastColumn="0" w:lastRowFirstColumn="0" w:lastRowLastColumn="0"/>
          <w:cantSplit/>
          <w:trHeight w:val="1097"/>
        </w:trPr>
        <w:tc>
          <w:tcPr>
            <w:cnfStyle w:val="001000000000" w:firstRow="0" w:lastRow="0" w:firstColumn="1" w:lastColumn="0" w:oddVBand="0" w:evenVBand="0" w:oddHBand="0" w:evenHBand="0" w:firstRowFirstColumn="0" w:firstRowLastColumn="0" w:lastRowFirstColumn="0" w:lastRowLastColumn="0"/>
            <w:tcW w:w="3652" w:type="dxa"/>
            <w:tcBorders>
              <w:bottom w:val="single" w:sz="4" w:space="0" w:color="auto"/>
              <w:right w:val="single" w:sz="4" w:space="0" w:color="auto"/>
            </w:tcBorders>
          </w:tcPr>
          <w:p w14:paraId="26D98C56" w14:textId="15847036" w:rsidR="0071000C" w:rsidRPr="0071000C" w:rsidRDefault="0071000C" w:rsidP="00B31BDB">
            <w:pPr>
              <w:pStyle w:val="Table2"/>
              <w:ind w:left="113" w:hanging="113"/>
              <w:rPr>
                <w:b w:val="0"/>
                <w:bCs/>
                <w:szCs w:val="18"/>
                <w:lang w:eastAsia="en-AU" w:bidi="ar-SA"/>
              </w:rPr>
            </w:pPr>
            <w:r w:rsidRPr="00C85E10">
              <w:rPr>
                <w:b w:val="0"/>
                <w:bCs/>
                <w:szCs w:val="18"/>
                <w:lang w:eastAsia="en-AU" w:bidi="ar-SA"/>
              </w:rPr>
              <w:lastRenderedPageBreak/>
              <w:t>Qualification regarding SPC and added lactic acid bacteria should be made in the process hygiene criteria for PIFs.</w:t>
            </w:r>
          </w:p>
        </w:tc>
        <w:tc>
          <w:tcPr>
            <w:tcW w:w="3402" w:type="dxa"/>
            <w:tcBorders>
              <w:left w:val="single" w:sz="4" w:space="0" w:color="auto"/>
              <w:bottom w:val="single" w:sz="4" w:space="0" w:color="auto"/>
              <w:right w:val="single" w:sz="4" w:space="0" w:color="auto"/>
            </w:tcBorders>
          </w:tcPr>
          <w:p w14:paraId="18D0CE64" w14:textId="77777777" w:rsidR="002A7DBA" w:rsidRPr="007B5ABE" w:rsidRDefault="002A7DBA" w:rsidP="00B31BDB">
            <w:pPr>
              <w:ind w:left="113" w:hanging="113"/>
              <w:cnfStyle w:val="000000100000" w:firstRow="0" w:lastRow="0" w:firstColumn="0" w:lastColumn="0" w:oddVBand="0" w:evenVBand="0" w:oddHBand="1" w:evenHBand="0" w:firstRowFirstColumn="0" w:firstRowLastColumn="0" w:lastRowFirstColumn="0" w:lastRowLastColumn="0"/>
              <w:rPr>
                <w:bCs/>
                <w:sz w:val="18"/>
                <w:szCs w:val="18"/>
                <w:lang w:eastAsia="en-AU" w:bidi="ar-SA"/>
              </w:rPr>
            </w:pPr>
            <w:r w:rsidRPr="007B5ABE">
              <w:rPr>
                <w:bCs/>
                <w:sz w:val="18"/>
                <w:szCs w:val="18"/>
                <w:lang w:eastAsia="en-AU" w:bidi="ar-SA"/>
              </w:rPr>
              <w:t>Dairy Food Safety Victoria (DFSV) and the Victorian Departments of Health and Human</w:t>
            </w:r>
            <w:r>
              <w:rPr>
                <w:bCs/>
                <w:sz w:val="18"/>
                <w:szCs w:val="18"/>
                <w:lang w:eastAsia="en-AU" w:bidi="ar-SA"/>
              </w:rPr>
              <w:t xml:space="preserve"> </w:t>
            </w:r>
            <w:r w:rsidRPr="007B5ABE">
              <w:rPr>
                <w:sz w:val="18"/>
                <w:szCs w:val="18"/>
                <w:lang w:eastAsia="en-AU" w:bidi="ar-SA"/>
              </w:rPr>
              <w:t>Services and Economic Development, Jobs, Transport and Resources</w:t>
            </w:r>
          </w:p>
          <w:p w14:paraId="02E97AF7" w14:textId="77777777" w:rsidR="0071000C" w:rsidRPr="007B5ABE" w:rsidRDefault="0071000C"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lang w:eastAsia="en-AU" w:bidi="ar-SA"/>
              </w:rPr>
            </w:pPr>
          </w:p>
        </w:tc>
        <w:tc>
          <w:tcPr>
            <w:tcW w:w="7131" w:type="dxa"/>
            <w:tcBorders>
              <w:left w:val="single" w:sz="4" w:space="0" w:color="auto"/>
              <w:bottom w:val="single" w:sz="4" w:space="0" w:color="auto"/>
            </w:tcBorders>
          </w:tcPr>
          <w:p w14:paraId="521F004A" w14:textId="14D179E6" w:rsidR="0071000C" w:rsidRPr="007B5ABE" w:rsidRDefault="0071000C"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Pr>
                <w:szCs w:val="18"/>
              </w:rPr>
              <w:t>Now included.</w:t>
            </w:r>
          </w:p>
        </w:tc>
      </w:tr>
      <w:tr w:rsidR="004458B4" w14:paraId="11549ADD" w14:textId="77777777" w:rsidTr="00C85E10">
        <w:trPr>
          <w:cnfStyle w:val="000000010000" w:firstRow="0" w:lastRow="0" w:firstColumn="0" w:lastColumn="0" w:oddVBand="0" w:evenVBand="0" w:oddHBand="0" w:evenHBand="1" w:firstRowFirstColumn="0" w:firstRowLastColumn="0" w:lastRowFirstColumn="0" w:lastRowLastColumn="0"/>
          <w:cantSplit/>
          <w:trHeight w:val="1097"/>
        </w:trPr>
        <w:tc>
          <w:tcPr>
            <w:cnfStyle w:val="001000000000" w:firstRow="0" w:lastRow="0" w:firstColumn="1" w:lastColumn="0" w:oddVBand="0" w:evenVBand="0" w:oddHBand="0" w:evenHBand="0" w:firstRowFirstColumn="0" w:firstRowLastColumn="0" w:lastRowFirstColumn="0" w:lastRowLastColumn="0"/>
            <w:tcW w:w="3652" w:type="dxa"/>
            <w:tcBorders>
              <w:bottom w:val="single" w:sz="4" w:space="0" w:color="auto"/>
              <w:right w:val="single" w:sz="4" w:space="0" w:color="auto"/>
            </w:tcBorders>
          </w:tcPr>
          <w:p w14:paraId="4DAF31FF" w14:textId="418912C4" w:rsidR="004458B4" w:rsidRPr="0071000C" w:rsidRDefault="004458B4" w:rsidP="00B31BDB">
            <w:pPr>
              <w:pStyle w:val="FSCtMain"/>
              <w:spacing w:before="0" w:after="0"/>
              <w:ind w:left="113" w:hanging="113"/>
              <w:rPr>
                <w:b w:val="0"/>
                <w:iCs w:val="0"/>
              </w:rPr>
            </w:pPr>
            <w:r w:rsidRPr="00C85E10">
              <w:rPr>
                <w:rFonts w:cs="Times New Roman"/>
                <w:b w:val="0"/>
                <w:iCs w:val="0"/>
                <w:sz w:val="18"/>
                <w:szCs w:val="18"/>
              </w:rPr>
              <w:t>It is premature to change the name of the Standard 1.6.1</w:t>
            </w:r>
            <w:r w:rsidR="00C85E10">
              <w:rPr>
                <w:rFonts w:cs="Times New Roman"/>
                <w:b w:val="0"/>
                <w:iCs w:val="0"/>
                <w:sz w:val="18"/>
                <w:szCs w:val="18"/>
              </w:rPr>
              <w:t xml:space="preserve"> </w:t>
            </w:r>
            <w:r w:rsidRPr="00C85E10">
              <w:rPr>
                <w:rFonts w:cs="Times New Roman"/>
                <w:b w:val="0"/>
                <w:iCs w:val="0"/>
                <w:sz w:val="18"/>
                <w:szCs w:val="18"/>
              </w:rPr>
              <w:t xml:space="preserve">from </w:t>
            </w:r>
            <w:r w:rsidR="00C85E10">
              <w:rPr>
                <w:rFonts w:cs="Times New Roman"/>
                <w:b w:val="0"/>
                <w:iCs w:val="0"/>
                <w:sz w:val="18"/>
                <w:szCs w:val="18"/>
              </w:rPr>
              <w:t>“</w:t>
            </w:r>
            <w:r w:rsidRPr="00C85E10">
              <w:rPr>
                <w:rFonts w:cs="Times New Roman"/>
                <w:b w:val="0"/>
                <w:iCs w:val="0"/>
                <w:sz w:val="18"/>
                <w:szCs w:val="18"/>
              </w:rPr>
              <w:t xml:space="preserve">Microbiological limits in food” to “Food safety microbiological criteria” as there are indicators </w:t>
            </w:r>
            <w:r w:rsidR="00A37AFE">
              <w:rPr>
                <w:rFonts w:cs="Times New Roman"/>
                <w:b w:val="0"/>
                <w:iCs w:val="0"/>
                <w:sz w:val="18"/>
                <w:szCs w:val="18"/>
              </w:rPr>
              <w:t xml:space="preserve">that </w:t>
            </w:r>
            <w:r w:rsidRPr="00C85E10">
              <w:rPr>
                <w:rFonts w:cs="Times New Roman"/>
                <w:b w:val="0"/>
                <w:iCs w:val="0"/>
                <w:sz w:val="18"/>
                <w:szCs w:val="18"/>
              </w:rPr>
              <w:t xml:space="preserve">are still </w:t>
            </w:r>
            <w:r w:rsidR="00C85E10">
              <w:rPr>
                <w:rFonts w:cs="Times New Roman"/>
                <w:b w:val="0"/>
                <w:iCs w:val="0"/>
                <w:sz w:val="18"/>
                <w:szCs w:val="18"/>
              </w:rPr>
              <w:t>included for other commodities.</w:t>
            </w:r>
          </w:p>
        </w:tc>
        <w:tc>
          <w:tcPr>
            <w:tcW w:w="3402" w:type="dxa"/>
            <w:tcBorders>
              <w:left w:val="single" w:sz="4" w:space="0" w:color="auto"/>
              <w:bottom w:val="single" w:sz="4" w:space="0" w:color="auto"/>
              <w:right w:val="single" w:sz="4" w:space="0" w:color="auto"/>
            </w:tcBorders>
          </w:tcPr>
          <w:p w14:paraId="6A2B41EC" w14:textId="77777777" w:rsidR="002A7DBA" w:rsidRPr="007B5ABE" w:rsidRDefault="002A7DBA" w:rsidP="00B31BDB">
            <w:pPr>
              <w:ind w:left="113" w:hanging="113"/>
              <w:cnfStyle w:val="000000010000" w:firstRow="0" w:lastRow="0" w:firstColumn="0" w:lastColumn="0" w:oddVBand="0" w:evenVBand="0" w:oddHBand="0" w:evenHBand="1" w:firstRowFirstColumn="0" w:firstRowLastColumn="0" w:lastRowFirstColumn="0" w:lastRowLastColumn="0"/>
              <w:rPr>
                <w:bCs/>
                <w:sz w:val="18"/>
                <w:szCs w:val="18"/>
                <w:lang w:eastAsia="en-AU" w:bidi="ar-SA"/>
              </w:rPr>
            </w:pPr>
            <w:r w:rsidRPr="007B5ABE">
              <w:rPr>
                <w:bCs/>
                <w:sz w:val="18"/>
                <w:szCs w:val="18"/>
                <w:lang w:eastAsia="en-AU" w:bidi="ar-SA"/>
              </w:rPr>
              <w:t>Dairy Food Safety Victoria (DFSV) and the Victorian Departments of Health and Human</w:t>
            </w:r>
            <w:r>
              <w:rPr>
                <w:bCs/>
                <w:sz w:val="18"/>
                <w:szCs w:val="18"/>
                <w:lang w:eastAsia="en-AU" w:bidi="ar-SA"/>
              </w:rPr>
              <w:t xml:space="preserve"> </w:t>
            </w:r>
            <w:r w:rsidRPr="007B5ABE">
              <w:rPr>
                <w:sz w:val="18"/>
                <w:szCs w:val="18"/>
                <w:lang w:eastAsia="en-AU" w:bidi="ar-SA"/>
              </w:rPr>
              <w:t>Services and Economic Development, Jobs, Transport and Resources</w:t>
            </w:r>
          </w:p>
          <w:p w14:paraId="551DF3F4" w14:textId="77777777" w:rsidR="004458B4" w:rsidRPr="007B5ABE" w:rsidRDefault="004458B4"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lang w:eastAsia="en-AU" w:bidi="ar-SA"/>
              </w:rPr>
            </w:pPr>
          </w:p>
        </w:tc>
        <w:tc>
          <w:tcPr>
            <w:tcW w:w="7131" w:type="dxa"/>
            <w:tcBorders>
              <w:left w:val="single" w:sz="4" w:space="0" w:color="auto"/>
              <w:bottom w:val="single" w:sz="4" w:space="0" w:color="auto"/>
            </w:tcBorders>
          </w:tcPr>
          <w:p w14:paraId="7924BC31" w14:textId="63286AF3" w:rsidR="004458B4" w:rsidRDefault="004458B4"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r>
              <w:rPr>
                <w:szCs w:val="18"/>
              </w:rPr>
              <w:t>Agreed.  To avoid any confusion the title of Standard 1.6.1 will not be changed until the review of microbiological criteria has been completed.</w:t>
            </w:r>
          </w:p>
        </w:tc>
      </w:tr>
      <w:tr w:rsidR="00EA3F24" w14:paraId="5EC6C5BF" w14:textId="77777777" w:rsidTr="007B5ABE">
        <w:trPr>
          <w:cnfStyle w:val="000000100000" w:firstRow="0" w:lastRow="0" w:firstColumn="0" w:lastColumn="0" w:oddVBand="0" w:evenVBand="0" w:oddHBand="1" w:evenHBand="0" w:firstRowFirstColumn="0" w:firstRowLastColumn="0" w:lastRowFirstColumn="0" w:lastRowLastColumn="0"/>
          <w:cantSplit/>
          <w:trHeight w:val="228"/>
        </w:trPr>
        <w:tc>
          <w:tcPr>
            <w:cnfStyle w:val="001000000000" w:firstRow="0" w:lastRow="0" w:firstColumn="1" w:lastColumn="0" w:oddVBand="0" w:evenVBand="0" w:oddHBand="0" w:evenHBand="0" w:firstRowFirstColumn="0" w:firstRowLastColumn="0" w:lastRowFirstColumn="0" w:lastRowLastColumn="0"/>
            <w:tcW w:w="3652" w:type="dxa"/>
            <w:tcBorders>
              <w:bottom w:val="single" w:sz="4" w:space="0" w:color="auto"/>
              <w:right w:val="single" w:sz="4" w:space="0" w:color="auto"/>
            </w:tcBorders>
          </w:tcPr>
          <w:p w14:paraId="0703603F" w14:textId="65B93BA9" w:rsidR="00501351" w:rsidRPr="007B5ABE" w:rsidRDefault="00501351" w:rsidP="00B31BDB">
            <w:pPr>
              <w:pStyle w:val="Table2"/>
              <w:ind w:left="113" w:hanging="113"/>
              <w:rPr>
                <w:b w:val="0"/>
                <w:bCs/>
                <w:szCs w:val="18"/>
              </w:rPr>
            </w:pPr>
            <w:r w:rsidRPr="007B5ABE">
              <w:rPr>
                <w:b w:val="0"/>
                <w:bCs/>
                <w:szCs w:val="18"/>
              </w:rPr>
              <w:t xml:space="preserve">Process hygiene criteria for </w:t>
            </w:r>
            <w:proofErr w:type="spellStart"/>
            <w:r w:rsidR="004A669A" w:rsidRPr="007B5ABE">
              <w:rPr>
                <w:b w:val="0"/>
                <w:bCs/>
                <w:szCs w:val="18"/>
              </w:rPr>
              <w:t>Enterobacteriacea</w:t>
            </w:r>
            <w:r w:rsidR="00B31BDB">
              <w:rPr>
                <w:b w:val="0"/>
                <w:bCs/>
                <w:szCs w:val="18"/>
              </w:rPr>
              <w:t>e</w:t>
            </w:r>
            <w:proofErr w:type="spellEnd"/>
            <w:r w:rsidRPr="007B5ABE">
              <w:rPr>
                <w:b w:val="0"/>
                <w:bCs/>
                <w:szCs w:val="18"/>
              </w:rPr>
              <w:t xml:space="preserve"> </w:t>
            </w:r>
            <w:r w:rsidR="007B5ABE">
              <w:rPr>
                <w:b w:val="0"/>
                <w:bCs/>
                <w:szCs w:val="18"/>
              </w:rPr>
              <w:t xml:space="preserve">are </w:t>
            </w:r>
            <w:r w:rsidRPr="007B5ABE">
              <w:rPr>
                <w:b w:val="0"/>
                <w:bCs/>
                <w:szCs w:val="18"/>
              </w:rPr>
              <w:t xml:space="preserve">not consistent with Codex guidelines. Explanatory </w:t>
            </w:r>
            <w:r w:rsidR="004465F0" w:rsidRPr="007B5ABE">
              <w:rPr>
                <w:b w:val="0"/>
                <w:bCs/>
                <w:szCs w:val="18"/>
              </w:rPr>
              <w:t>notes from the Codex guidelines as to why this is not a true 2-class sampling plan could also be included.</w:t>
            </w:r>
          </w:p>
        </w:tc>
        <w:tc>
          <w:tcPr>
            <w:tcW w:w="3402" w:type="dxa"/>
            <w:tcBorders>
              <w:left w:val="single" w:sz="4" w:space="0" w:color="auto"/>
              <w:bottom w:val="single" w:sz="4" w:space="0" w:color="auto"/>
              <w:right w:val="single" w:sz="4" w:space="0" w:color="auto"/>
            </w:tcBorders>
          </w:tcPr>
          <w:p w14:paraId="27901599" w14:textId="3A341FC5" w:rsidR="00EA3F24" w:rsidRPr="007B5ABE" w:rsidRDefault="00501351"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sidRPr="007B5ABE">
              <w:rPr>
                <w:szCs w:val="18"/>
              </w:rPr>
              <w:t>NZ Ministry for Primary Industries</w:t>
            </w:r>
          </w:p>
        </w:tc>
        <w:tc>
          <w:tcPr>
            <w:tcW w:w="7131" w:type="dxa"/>
            <w:tcBorders>
              <w:left w:val="single" w:sz="4" w:space="0" w:color="auto"/>
              <w:bottom w:val="single" w:sz="4" w:space="0" w:color="auto"/>
            </w:tcBorders>
          </w:tcPr>
          <w:p w14:paraId="3A392183" w14:textId="0E32B5A3" w:rsidR="00501351" w:rsidRPr="007B5ABE" w:rsidRDefault="004465F0"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sidRPr="007B5ABE">
              <w:rPr>
                <w:szCs w:val="18"/>
              </w:rPr>
              <w:t xml:space="preserve">Agree. </w:t>
            </w:r>
            <w:r w:rsidR="00501351" w:rsidRPr="007B5ABE">
              <w:rPr>
                <w:szCs w:val="18"/>
              </w:rPr>
              <w:t xml:space="preserve">The “n” value proposed in the sampling plan for </w:t>
            </w:r>
            <w:proofErr w:type="spellStart"/>
            <w:r w:rsidR="004A669A" w:rsidRPr="007B5ABE">
              <w:rPr>
                <w:szCs w:val="18"/>
              </w:rPr>
              <w:t>Enterobacteriacea</w:t>
            </w:r>
            <w:r w:rsidR="00B31BDB">
              <w:rPr>
                <w:szCs w:val="18"/>
              </w:rPr>
              <w:t>e</w:t>
            </w:r>
            <w:proofErr w:type="spellEnd"/>
            <w:r w:rsidR="00501351" w:rsidRPr="007B5ABE">
              <w:rPr>
                <w:szCs w:val="18"/>
              </w:rPr>
              <w:t xml:space="preserve"> in powdered infant formula products was incorrectly transcribed in the Call for Submissions Report and has now been amended to n=10.</w:t>
            </w:r>
          </w:p>
          <w:p w14:paraId="3CC777E8" w14:textId="77777777" w:rsidR="00501351" w:rsidRPr="007B5ABE" w:rsidRDefault="00501351"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p>
          <w:p w14:paraId="63ED7676" w14:textId="77777777" w:rsidR="00EA3F24" w:rsidRDefault="00C9719B" w:rsidP="00B31BDB">
            <w:pPr>
              <w:pStyle w:val="Table2"/>
              <w:ind w:left="113" w:hanging="113"/>
              <w:cnfStyle w:val="000000100000" w:firstRow="0" w:lastRow="0" w:firstColumn="0" w:lastColumn="0" w:oddVBand="0" w:evenVBand="0" w:oddHBand="1" w:evenHBand="0" w:firstRowFirstColumn="0" w:firstRowLastColumn="0" w:lastRowFirstColumn="0" w:lastRowLastColumn="0"/>
              <w:rPr>
                <w:rFonts w:eastAsia="Calibri" w:cs="Arial"/>
                <w:bCs w:val="0"/>
                <w:szCs w:val="18"/>
                <w:lang w:val="en-US" w:bidi="ar-SA"/>
              </w:rPr>
            </w:pPr>
            <w:r w:rsidRPr="007B5ABE">
              <w:rPr>
                <w:rFonts w:eastAsia="Calibri" w:cs="Arial"/>
                <w:bCs w:val="0"/>
                <w:szCs w:val="18"/>
                <w:lang w:val="en-US" w:bidi="ar-SA"/>
              </w:rPr>
              <w:t>Information included in t</w:t>
            </w:r>
            <w:r w:rsidR="00501351" w:rsidRPr="007B5ABE">
              <w:rPr>
                <w:rFonts w:eastAsia="Calibri" w:cs="Arial"/>
                <w:bCs w:val="0"/>
                <w:szCs w:val="18"/>
                <w:lang w:val="en-US" w:bidi="ar-SA"/>
              </w:rPr>
              <w:t xml:space="preserve">he explanatory notes </w:t>
            </w:r>
            <w:r w:rsidR="004465F0" w:rsidRPr="007B5ABE">
              <w:rPr>
                <w:rFonts w:eastAsia="Calibri" w:cs="Arial"/>
                <w:bCs w:val="0"/>
                <w:szCs w:val="18"/>
                <w:lang w:val="en-US" w:bidi="ar-SA"/>
              </w:rPr>
              <w:t>will be</w:t>
            </w:r>
            <w:r w:rsidR="00501351" w:rsidRPr="007B5ABE">
              <w:rPr>
                <w:rFonts w:eastAsia="Calibri" w:cs="Arial"/>
                <w:bCs w:val="0"/>
                <w:szCs w:val="18"/>
                <w:lang w:val="en-US" w:bidi="ar-SA"/>
              </w:rPr>
              <w:t xml:space="preserve"> included in the final version of the Compendium guidance document</w:t>
            </w:r>
            <w:r w:rsidR="004465F0" w:rsidRPr="007B5ABE">
              <w:rPr>
                <w:rFonts w:eastAsia="Calibri" w:cs="Arial"/>
                <w:bCs w:val="0"/>
                <w:szCs w:val="18"/>
                <w:lang w:val="en-US" w:bidi="ar-SA"/>
              </w:rPr>
              <w:t>.</w:t>
            </w:r>
          </w:p>
          <w:p w14:paraId="5D9957B6" w14:textId="7D5F15F2" w:rsidR="00F41DF2" w:rsidRPr="007B5ABE" w:rsidRDefault="00F41DF2" w:rsidP="00B31BDB">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p>
        </w:tc>
      </w:tr>
      <w:tr w:rsidR="00BC6A11" w14:paraId="05848662" w14:textId="77777777" w:rsidTr="007B5ABE">
        <w:trPr>
          <w:cnfStyle w:val="000000010000" w:firstRow="0" w:lastRow="0" w:firstColumn="0" w:lastColumn="0" w:oddVBand="0" w:evenVBand="0" w:oddHBand="0" w:evenHBand="1" w:firstRowFirstColumn="0" w:firstRowLastColumn="0" w:lastRowFirstColumn="0" w:lastRowLastColumn="0"/>
          <w:cantSplit/>
          <w:trHeight w:val="228"/>
        </w:trPr>
        <w:tc>
          <w:tcPr>
            <w:cnfStyle w:val="001000000000" w:firstRow="0" w:lastRow="0" w:firstColumn="1" w:lastColumn="0" w:oddVBand="0" w:evenVBand="0" w:oddHBand="0" w:evenHBand="0" w:firstRowFirstColumn="0" w:firstRowLastColumn="0" w:lastRowFirstColumn="0" w:lastRowLastColumn="0"/>
            <w:tcW w:w="3652" w:type="dxa"/>
            <w:tcBorders>
              <w:right w:val="single" w:sz="4" w:space="0" w:color="auto"/>
            </w:tcBorders>
          </w:tcPr>
          <w:p w14:paraId="1EFA1849" w14:textId="579F008C" w:rsidR="00BC6A11" w:rsidRPr="00AF4071" w:rsidRDefault="00C658A8" w:rsidP="00B31BDB">
            <w:pPr>
              <w:pStyle w:val="Table2"/>
              <w:ind w:left="113" w:hanging="113"/>
              <w:rPr>
                <w:b w:val="0"/>
                <w:bCs/>
                <w:szCs w:val="18"/>
              </w:rPr>
            </w:pPr>
            <w:r w:rsidRPr="00AF4071">
              <w:rPr>
                <w:b w:val="0"/>
                <w:bCs/>
                <w:szCs w:val="18"/>
              </w:rPr>
              <w:t>Additional definitions in Schedule 27 for powdered infant formula and powdered follow on formula to assist with avoiding uncertainty in the application of microbiological criteria</w:t>
            </w:r>
          </w:p>
        </w:tc>
        <w:tc>
          <w:tcPr>
            <w:tcW w:w="3402" w:type="dxa"/>
            <w:tcBorders>
              <w:left w:val="single" w:sz="4" w:space="0" w:color="auto"/>
              <w:right w:val="single" w:sz="4" w:space="0" w:color="auto"/>
            </w:tcBorders>
          </w:tcPr>
          <w:p w14:paraId="7B826CED" w14:textId="3827CF2F" w:rsidR="00BC6A11" w:rsidRPr="00AF4071" w:rsidRDefault="00C658A8"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r w:rsidRPr="00AF4071">
              <w:rPr>
                <w:szCs w:val="18"/>
              </w:rPr>
              <w:t>Dairy Goat Cooperative</w:t>
            </w:r>
          </w:p>
        </w:tc>
        <w:tc>
          <w:tcPr>
            <w:tcW w:w="7131" w:type="dxa"/>
            <w:tcBorders>
              <w:left w:val="single" w:sz="4" w:space="0" w:color="auto"/>
            </w:tcBorders>
          </w:tcPr>
          <w:p w14:paraId="0AD865E3" w14:textId="77777777" w:rsidR="00C85E10" w:rsidRDefault="00C658A8"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r w:rsidRPr="00C658A8">
              <w:rPr>
                <w:szCs w:val="18"/>
              </w:rPr>
              <w:t>Definition</w:t>
            </w:r>
            <w:r>
              <w:rPr>
                <w:szCs w:val="18"/>
              </w:rPr>
              <w:t>s</w:t>
            </w:r>
            <w:r w:rsidRPr="00C658A8">
              <w:rPr>
                <w:szCs w:val="18"/>
              </w:rPr>
              <w:t xml:space="preserve"> in Standard 1.1.2 apply across the Code and the</w:t>
            </w:r>
            <w:r>
              <w:rPr>
                <w:szCs w:val="18"/>
              </w:rPr>
              <w:t xml:space="preserve"> current definitions cover age applicability</w:t>
            </w:r>
            <w:r w:rsidRPr="00C658A8">
              <w:rPr>
                <w:szCs w:val="18"/>
              </w:rPr>
              <w:t xml:space="preserve">. FSANZ considers that no additional definitions are required in Schedule 27. </w:t>
            </w:r>
          </w:p>
          <w:p w14:paraId="180A04F4" w14:textId="77777777" w:rsidR="00C85E10" w:rsidRDefault="00C85E10"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p>
          <w:p w14:paraId="38A66E97" w14:textId="5BA84310" w:rsidR="00EA3F24" w:rsidRDefault="00C658A8" w:rsidP="00B31BDB">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r w:rsidRPr="00C658A8">
              <w:rPr>
                <w:szCs w:val="18"/>
              </w:rPr>
              <w:t>However</w:t>
            </w:r>
            <w:r w:rsidR="00FE20FE">
              <w:rPr>
                <w:szCs w:val="18"/>
              </w:rPr>
              <w:t>,</w:t>
            </w:r>
            <w:r w:rsidRPr="00C658A8">
              <w:rPr>
                <w:szCs w:val="18"/>
              </w:rPr>
              <w:t xml:space="preserve"> it is noted that the term used</w:t>
            </w:r>
            <w:r>
              <w:rPr>
                <w:szCs w:val="18"/>
              </w:rPr>
              <w:t>,</w:t>
            </w:r>
            <w:r w:rsidRPr="00C658A8">
              <w:rPr>
                <w:szCs w:val="18"/>
              </w:rPr>
              <w:t xml:space="preserve"> ‘powdered infant formula’</w:t>
            </w:r>
            <w:r>
              <w:rPr>
                <w:szCs w:val="18"/>
              </w:rPr>
              <w:t>,</w:t>
            </w:r>
            <w:r w:rsidRPr="00C658A8">
              <w:rPr>
                <w:szCs w:val="18"/>
              </w:rPr>
              <w:t xml:space="preserve"> should actually be ‘powdered infant formula products’ and </w:t>
            </w:r>
            <w:r>
              <w:rPr>
                <w:szCs w:val="18"/>
              </w:rPr>
              <w:t xml:space="preserve">this </w:t>
            </w:r>
            <w:r w:rsidRPr="00C658A8">
              <w:rPr>
                <w:szCs w:val="18"/>
              </w:rPr>
              <w:t>has been amended in the revised drafting.</w:t>
            </w:r>
          </w:p>
          <w:p w14:paraId="5599BA14" w14:textId="2AC964BF" w:rsidR="00F41DF2" w:rsidRDefault="00F41DF2" w:rsidP="00B31BDB">
            <w:pPr>
              <w:pStyle w:val="Table2"/>
              <w:ind w:left="113" w:hanging="113"/>
              <w:cnfStyle w:val="000000010000" w:firstRow="0" w:lastRow="0" w:firstColumn="0" w:lastColumn="0" w:oddVBand="0" w:evenVBand="0" w:oddHBand="0" w:evenHBand="1" w:firstRowFirstColumn="0" w:firstRowLastColumn="0" w:lastRowFirstColumn="0" w:lastRowLastColumn="0"/>
            </w:pPr>
          </w:p>
        </w:tc>
      </w:tr>
      <w:tr w:rsidR="003E6443" w14:paraId="52923FD3" w14:textId="77777777" w:rsidTr="007B5ABE">
        <w:trPr>
          <w:cnfStyle w:val="000000100000" w:firstRow="0" w:lastRow="0" w:firstColumn="0" w:lastColumn="0" w:oddVBand="0" w:evenVBand="0" w:oddHBand="1" w:evenHBand="0" w:firstRowFirstColumn="0" w:firstRowLastColumn="0" w:lastRowFirstColumn="0" w:lastRowLastColumn="0"/>
          <w:cantSplit/>
          <w:trHeight w:val="228"/>
        </w:trPr>
        <w:tc>
          <w:tcPr>
            <w:cnfStyle w:val="001000000000" w:firstRow="0" w:lastRow="0" w:firstColumn="1" w:lastColumn="0" w:oddVBand="0" w:evenVBand="0" w:oddHBand="0" w:evenHBand="0" w:firstRowFirstColumn="0" w:firstRowLastColumn="0" w:lastRowFirstColumn="0" w:lastRowLastColumn="0"/>
            <w:tcW w:w="3652" w:type="dxa"/>
            <w:tcBorders>
              <w:right w:val="single" w:sz="4" w:space="0" w:color="auto"/>
            </w:tcBorders>
          </w:tcPr>
          <w:p w14:paraId="4D262B84" w14:textId="26413649" w:rsidR="003E6443" w:rsidRPr="003E6443" w:rsidRDefault="003E6443" w:rsidP="00C5670C">
            <w:pPr>
              <w:pStyle w:val="Table2"/>
              <w:ind w:left="113" w:hanging="113"/>
              <w:rPr>
                <w:b w:val="0"/>
                <w:szCs w:val="18"/>
                <w:lang w:val="en-US"/>
              </w:rPr>
            </w:pPr>
            <w:r w:rsidRPr="003E6443">
              <w:rPr>
                <w:b w:val="0"/>
                <w:szCs w:val="18"/>
                <w:lang w:val="en-US"/>
              </w:rPr>
              <w:lastRenderedPageBreak/>
              <w:t>New Zealand data be accurately represented in the Supporting Document (SD) 1, including:</w:t>
            </w:r>
          </w:p>
          <w:p w14:paraId="4C604B82" w14:textId="3D8EB54A" w:rsidR="003E6443" w:rsidRPr="003E6443" w:rsidRDefault="003E6443" w:rsidP="00C5670C">
            <w:pPr>
              <w:pStyle w:val="Table2"/>
              <w:ind w:left="113" w:hanging="113"/>
              <w:rPr>
                <w:b w:val="0"/>
                <w:szCs w:val="18"/>
                <w:lang w:val="en-US"/>
              </w:rPr>
            </w:pPr>
            <w:r w:rsidRPr="003E6443">
              <w:rPr>
                <w:b w:val="0"/>
                <w:szCs w:val="18"/>
                <w:lang w:val="en-US"/>
              </w:rPr>
              <w:t>o</w:t>
            </w:r>
            <w:r w:rsidRPr="003E6443">
              <w:rPr>
                <w:b w:val="0"/>
                <w:szCs w:val="18"/>
                <w:lang w:val="en-US"/>
              </w:rPr>
              <w:tab/>
              <w:t xml:space="preserve">Table 2 – 2004 reference to a premature baby dying of meningitis caused by </w:t>
            </w:r>
            <w:r w:rsidR="004A669A" w:rsidRPr="004A669A">
              <w:rPr>
                <w:b w:val="0"/>
                <w:i/>
                <w:szCs w:val="18"/>
                <w:lang w:val="en-US"/>
              </w:rPr>
              <w:t xml:space="preserve">C. </w:t>
            </w:r>
            <w:proofErr w:type="spellStart"/>
            <w:r w:rsidR="00C5670C">
              <w:rPr>
                <w:b w:val="0"/>
                <w:i/>
                <w:szCs w:val="18"/>
                <w:lang w:val="en-US"/>
              </w:rPr>
              <w:t>s</w:t>
            </w:r>
            <w:r w:rsidR="004A669A" w:rsidRPr="004A669A">
              <w:rPr>
                <w:b w:val="0"/>
                <w:i/>
                <w:szCs w:val="18"/>
                <w:lang w:val="en-US"/>
              </w:rPr>
              <w:t>akazakii</w:t>
            </w:r>
            <w:proofErr w:type="spellEnd"/>
            <w:r w:rsidRPr="003E6443">
              <w:rPr>
                <w:b w:val="0"/>
                <w:szCs w:val="18"/>
                <w:lang w:val="en-US"/>
              </w:rPr>
              <w:t xml:space="preserve"> infection with four other infants being colonized but not becoming ill. The additional four infants to not be referred to as cases.</w:t>
            </w:r>
          </w:p>
          <w:p w14:paraId="26B0625D" w14:textId="77777777" w:rsidR="003E6443" w:rsidRDefault="003E6443" w:rsidP="00C5670C">
            <w:pPr>
              <w:pStyle w:val="Table2"/>
              <w:ind w:left="113" w:hanging="113"/>
              <w:rPr>
                <w:b w:val="0"/>
                <w:szCs w:val="18"/>
                <w:lang w:val="en-US"/>
              </w:rPr>
            </w:pPr>
            <w:r w:rsidRPr="003E6443">
              <w:rPr>
                <w:b w:val="0"/>
                <w:szCs w:val="18"/>
                <w:lang w:val="en-US"/>
              </w:rPr>
              <w:t>o</w:t>
            </w:r>
            <w:r w:rsidRPr="003E6443">
              <w:rPr>
                <w:b w:val="0"/>
                <w:szCs w:val="18"/>
                <w:lang w:val="en-US"/>
              </w:rPr>
              <w:tab/>
              <w:t>Results of 2009 NZ survey to be included in table 4</w:t>
            </w:r>
          </w:p>
          <w:p w14:paraId="318BFEF8" w14:textId="1140A7A6" w:rsidR="003E6443" w:rsidRDefault="003E6443" w:rsidP="00C5670C">
            <w:pPr>
              <w:pStyle w:val="Table2"/>
              <w:ind w:left="113" w:hanging="113"/>
              <w:rPr>
                <w:b w:val="0"/>
                <w:szCs w:val="18"/>
                <w:lang w:val="en-US"/>
              </w:rPr>
            </w:pPr>
          </w:p>
        </w:tc>
        <w:tc>
          <w:tcPr>
            <w:tcW w:w="3402" w:type="dxa"/>
            <w:tcBorders>
              <w:left w:val="single" w:sz="4" w:space="0" w:color="auto"/>
              <w:right w:val="single" w:sz="4" w:space="0" w:color="auto"/>
            </w:tcBorders>
          </w:tcPr>
          <w:p w14:paraId="62C12C42" w14:textId="24BF783A" w:rsidR="003E6443" w:rsidRDefault="003E6443" w:rsidP="00C5670C">
            <w:pPr>
              <w:pStyle w:val="Table2"/>
              <w:ind w:left="113" w:hanging="113"/>
              <w:cnfStyle w:val="000000100000" w:firstRow="0" w:lastRow="0" w:firstColumn="0" w:lastColumn="0" w:oddVBand="0" w:evenVBand="0" w:oddHBand="1" w:evenHBand="0" w:firstRowFirstColumn="0" w:firstRowLastColumn="0" w:lastRowFirstColumn="0" w:lastRowLastColumn="0"/>
              <w:rPr>
                <w:rFonts w:cs="Arial"/>
                <w:sz w:val="20"/>
              </w:rPr>
            </w:pPr>
            <w:r w:rsidRPr="007B5ABE">
              <w:rPr>
                <w:szCs w:val="18"/>
              </w:rPr>
              <w:t>NZ Ministry for Primary Industries</w:t>
            </w:r>
          </w:p>
        </w:tc>
        <w:tc>
          <w:tcPr>
            <w:tcW w:w="7131" w:type="dxa"/>
            <w:tcBorders>
              <w:left w:val="single" w:sz="4" w:space="0" w:color="auto"/>
            </w:tcBorders>
          </w:tcPr>
          <w:p w14:paraId="0A4FF6D6" w14:textId="5A718DF2" w:rsidR="003E6443" w:rsidRPr="00C85E10" w:rsidRDefault="00AF4071" w:rsidP="00C5670C">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Pr>
                <w:szCs w:val="18"/>
              </w:rPr>
              <w:t xml:space="preserve">Agree. </w:t>
            </w:r>
            <w:r w:rsidR="003E6443" w:rsidRPr="00C85E10">
              <w:rPr>
                <w:szCs w:val="18"/>
              </w:rPr>
              <w:t xml:space="preserve">Table 2 has been updated to reflect this clarification on reported cases of illness from </w:t>
            </w:r>
            <w:proofErr w:type="spellStart"/>
            <w:r w:rsidR="003E6443" w:rsidRPr="000724F1">
              <w:rPr>
                <w:i/>
                <w:szCs w:val="18"/>
              </w:rPr>
              <w:t>Cronobacter</w:t>
            </w:r>
            <w:proofErr w:type="spellEnd"/>
            <w:r w:rsidR="003E6443" w:rsidRPr="00C85E10">
              <w:rPr>
                <w:szCs w:val="18"/>
              </w:rPr>
              <w:t xml:space="preserve"> </w:t>
            </w:r>
            <w:proofErr w:type="spellStart"/>
            <w:r w:rsidR="003E6443" w:rsidRPr="00C85E10">
              <w:rPr>
                <w:szCs w:val="18"/>
              </w:rPr>
              <w:t>spp</w:t>
            </w:r>
            <w:proofErr w:type="spellEnd"/>
            <w:r w:rsidR="003E6443" w:rsidRPr="00C85E10">
              <w:rPr>
                <w:szCs w:val="18"/>
              </w:rPr>
              <w:t xml:space="preserve"> in NZ.</w:t>
            </w:r>
            <w:r w:rsidR="00CC44B1">
              <w:rPr>
                <w:szCs w:val="18"/>
              </w:rPr>
              <w:t xml:space="preserve"> R</w:t>
            </w:r>
            <w:r w:rsidR="003E6443" w:rsidRPr="00C85E10">
              <w:rPr>
                <w:szCs w:val="18"/>
              </w:rPr>
              <w:t xml:space="preserve">esults of </w:t>
            </w:r>
            <w:r w:rsidR="00FE20FE">
              <w:rPr>
                <w:szCs w:val="18"/>
              </w:rPr>
              <w:t xml:space="preserve">the </w:t>
            </w:r>
            <w:r w:rsidR="003E6443" w:rsidRPr="00C85E10">
              <w:rPr>
                <w:szCs w:val="18"/>
              </w:rPr>
              <w:t xml:space="preserve">2009 NZ survey have </w:t>
            </w:r>
            <w:r w:rsidR="00CC44B1">
              <w:rPr>
                <w:szCs w:val="18"/>
              </w:rPr>
              <w:t xml:space="preserve">also </w:t>
            </w:r>
            <w:r w:rsidR="003E6443" w:rsidRPr="00C85E10">
              <w:rPr>
                <w:szCs w:val="18"/>
              </w:rPr>
              <w:t>been added to Table 4</w:t>
            </w:r>
          </w:p>
          <w:p w14:paraId="27CBDAB6" w14:textId="4B69AAFE" w:rsidR="003E6443" w:rsidRPr="00AF4071" w:rsidRDefault="003E6443" w:rsidP="00C5670C">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p>
        </w:tc>
      </w:tr>
      <w:tr w:rsidR="003E6443" w14:paraId="249BE6ED" w14:textId="77777777" w:rsidTr="007B5ABE">
        <w:trPr>
          <w:cnfStyle w:val="000000010000" w:firstRow="0" w:lastRow="0" w:firstColumn="0" w:lastColumn="0" w:oddVBand="0" w:evenVBand="0" w:oddHBand="0" w:evenHBand="1" w:firstRowFirstColumn="0" w:firstRowLastColumn="0" w:lastRowFirstColumn="0" w:lastRowLastColumn="0"/>
          <w:cantSplit/>
          <w:trHeight w:val="228"/>
        </w:trPr>
        <w:tc>
          <w:tcPr>
            <w:cnfStyle w:val="001000000000" w:firstRow="0" w:lastRow="0" w:firstColumn="1" w:lastColumn="0" w:oddVBand="0" w:evenVBand="0" w:oddHBand="0" w:evenHBand="0" w:firstRowFirstColumn="0" w:firstRowLastColumn="0" w:lastRowFirstColumn="0" w:lastRowLastColumn="0"/>
            <w:tcW w:w="3652" w:type="dxa"/>
            <w:tcBorders>
              <w:right w:val="single" w:sz="4" w:space="0" w:color="auto"/>
            </w:tcBorders>
          </w:tcPr>
          <w:p w14:paraId="2F3ECD50" w14:textId="515F5A93" w:rsidR="003E6443" w:rsidRDefault="00AF4071" w:rsidP="00FE20FE">
            <w:pPr>
              <w:pStyle w:val="Table2"/>
              <w:ind w:left="113" w:hanging="113"/>
              <w:rPr>
                <w:b w:val="0"/>
                <w:szCs w:val="18"/>
                <w:lang w:val="en-US"/>
              </w:rPr>
            </w:pPr>
            <w:r w:rsidRPr="003E6443">
              <w:rPr>
                <w:b w:val="0"/>
                <w:szCs w:val="18"/>
                <w:lang w:val="en-US"/>
              </w:rPr>
              <w:t>WHO recommendations on PIF reconstitution in SD1 be excluded from the final version, or if it remains, a footnote noting that NZ guidance for PIF reconstitution is different</w:t>
            </w:r>
          </w:p>
        </w:tc>
        <w:tc>
          <w:tcPr>
            <w:tcW w:w="3402" w:type="dxa"/>
            <w:tcBorders>
              <w:left w:val="single" w:sz="4" w:space="0" w:color="auto"/>
              <w:right w:val="single" w:sz="4" w:space="0" w:color="auto"/>
            </w:tcBorders>
          </w:tcPr>
          <w:p w14:paraId="17573D9F" w14:textId="0B2FF8B3" w:rsidR="003E6443" w:rsidRDefault="00AF4071" w:rsidP="00C5670C">
            <w:pPr>
              <w:pStyle w:val="Table2"/>
              <w:ind w:left="113" w:hanging="113"/>
              <w:cnfStyle w:val="000000010000" w:firstRow="0" w:lastRow="0" w:firstColumn="0" w:lastColumn="0" w:oddVBand="0" w:evenVBand="0" w:oddHBand="0" w:evenHBand="1" w:firstRowFirstColumn="0" w:firstRowLastColumn="0" w:lastRowFirstColumn="0" w:lastRowLastColumn="0"/>
              <w:rPr>
                <w:rFonts w:cs="Arial"/>
                <w:sz w:val="20"/>
              </w:rPr>
            </w:pPr>
            <w:r w:rsidRPr="007B5ABE">
              <w:rPr>
                <w:szCs w:val="18"/>
              </w:rPr>
              <w:t>NZ Ministry for Primary Industries</w:t>
            </w:r>
          </w:p>
        </w:tc>
        <w:tc>
          <w:tcPr>
            <w:tcW w:w="7131" w:type="dxa"/>
            <w:tcBorders>
              <w:left w:val="single" w:sz="4" w:space="0" w:color="auto"/>
            </w:tcBorders>
          </w:tcPr>
          <w:p w14:paraId="27E68461" w14:textId="77777777" w:rsidR="003E6443" w:rsidRDefault="00AF4071" w:rsidP="00C5670C">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r w:rsidRPr="00C85E10">
              <w:rPr>
                <w:szCs w:val="18"/>
              </w:rPr>
              <w:t xml:space="preserve">The reference to reconstitution temperatures in SD1 is in relation to the outcomes of the JEMRA reports, recognising that </w:t>
            </w:r>
            <w:proofErr w:type="spellStart"/>
            <w:r w:rsidRPr="00C85E10">
              <w:rPr>
                <w:szCs w:val="18"/>
              </w:rPr>
              <w:t>Cronobacter</w:t>
            </w:r>
            <w:proofErr w:type="spellEnd"/>
            <w:r w:rsidRPr="00C85E10">
              <w:rPr>
                <w:szCs w:val="18"/>
              </w:rPr>
              <w:t xml:space="preserve"> </w:t>
            </w:r>
            <w:proofErr w:type="spellStart"/>
            <w:r w:rsidRPr="00C85E10">
              <w:rPr>
                <w:szCs w:val="18"/>
              </w:rPr>
              <w:t>spp</w:t>
            </w:r>
            <w:proofErr w:type="spellEnd"/>
            <w:r w:rsidRPr="00C85E10">
              <w:rPr>
                <w:szCs w:val="18"/>
              </w:rPr>
              <w:t xml:space="preserve"> are rapidly inactivated at temperatures &gt;70°C. Section 4.1 </w:t>
            </w:r>
            <w:r>
              <w:rPr>
                <w:szCs w:val="18"/>
              </w:rPr>
              <w:t xml:space="preserve">has been refined </w:t>
            </w:r>
            <w:r w:rsidRPr="00C85E10">
              <w:rPr>
                <w:szCs w:val="18"/>
              </w:rPr>
              <w:t xml:space="preserve">to make this clearer. Guidance on reconstitution temperatures will be considered in detail under </w:t>
            </w:r>
            <w:r>
              <w:rPr>
                <w:szCs w:val="18"/>
              </w:rPr>
              <w:t xml:space="preserve">a separate </w:t>
            </w:r>
            <w:r w:rsidRPr="00C85E10">
              <w:rPr>
                <w:szCs w:val="18"/>
              </w:rPr>
              <w:t>Proposal P1028 – Infant formula.</w:t>
            </w:r>
          </w:p>
          <w:p w14:paraId="08E3C226" w14:textId="0D1AF611" w:rsidR="00F41DF2" w:rsidRDefault="00F41DF2" w:rsidP="00C5670C">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p>
        </w:tc>
      </w:tr>
    </w:tbl>
    <w:p w14:paraId="325094E4" w14:textId="77777777" w:rsidR="007A53BF" w:rsidRDefault="007A53BF" w:rsidP="007A53BF">
      <w:pPr>
        <w:rPr>
          <w:color w:val="00B050"/>
        </w:rPr>
      </w:pPr>
    </w:p>
    <w:p w14:paraId="7E3BA6FD" w14:textId="77777777" w:rsidR="00955E91" w:rsidRDefault="00955E91" w:rsidP="002C1A3B">
      <w:pPr>
        <w:pStyle w:val="Heading2"/>
        <w:sectPr w:rsidR="00955E91" w:rsidSect="002A7DBA">
          <w:pgSz w:w="16838" w:h="11906" w:orient="landscape" w:code="9"/>
          <w:pgMar w:top="1440" w:right="1440" w:bottom="1440" w:left="1440" w:header="709" w:footer="709" w:gutter="0"/>
          <w:cols w:space="708"/>
          <w:docGrid w:linePitch="360"/>
        </w:sectPr>
      </w:pPr>
      <w:bookmarkStart w:id="47" w:name="_Toc370223472"/>
      <w:bookmarkStart w:id="48" w:name="_Toc370225387"/>
      <w:bookmarkStart w:id="49" w:name="_Toc309291812"/>
      <w:bookmarkStart w:id="50" w:name="_Toc175381442"/>
      <w:bookmarkEnd w:id="41"/>
      <w:bookmarkEnd w:id="42"/>
      <w:bookmarkEnd w:id="43"/>
      <w:bookmarkEnd w:id="44"/>
      <w:bookmarkEnd w:id="45"/>
      <w:bookmarkEnd w:id="46"/>
    </w:p>
    <w:p w14:paraId="325094E6" w14:textId="77777777" w:rsidR="002C1A3B" w:rsidRPr="00932F14" w:rsidRDefault="002C1A3B" w:rsidP="002C1A3B">
      <w:pPr>
        <w:pStyle w:val="Heading2"/>
      </w:pPr>
      <w:bookmarkStart w:id="51" w:name="_Toc440636833"/>
      <w:r>
        <w:lastRenderedPageBreak/>
        <w:t>2.2</w:t>
      </w:r>
      <w:r>
        <w:tab/>
      </w:r>
      <w:r w:rsidRPr="00932F14">
        <w:t xml:space="preserve">Risk </w:t>
      </w:r>
      <w:r>
        <w:t>a</w:t>
      </w:r>
      <w:r w:rsidRPr="00932F14">
        <w:t>ssessment</w:t>
      </w:r>
      <w:bookmarkEnd w:id="47"/>
      <w:bookmarkEnd w:id="48"/>
      <w:bookmarkEnd w:id="51"/>
      <w:r w:rsidRPr="00932F14">
        <w:t xml:space="preserve"> </w:t>
      </w:r>
    </w:p>
    <w:p w14:paraId="1034863D" w14:textId="7EF1BF1B" w:rsidR="007A7350" w:rsidRPr="00EB6243" w:rsidRDefault="007A7350" w:rsidP="007A7350">
      <w:r>
        <w:t xml:space="preserve">FSANZ prepared a summary of the </w:t>
      </w:r>
      <w:r w:rsidRPr="00EB6243">
        <w:t>risk assessment work undertaken to inform the Codex risk management approach; in particular, the information supporting establishment of microbiological criteria</w:t>
      </w:r>
      <w:r>
        <w:t xml:space="preserve"> (refer to SD1)</w:t>
      </w:r>
      <w:r w:rsidRPr="00EB6243">
        <w:t xml:space="preserve">. </w:t>
      </w:r>
    </w:p>
    <w:p w14:paraId="4A0E7CB8" w14:textId="77777777" w:rsidR="007A7350" w:rsidRPr="00EB6243" w:rsidRDefault="007A7350" w:rsidP="007A7350"/>
    <w:p w14:paraId="28D37F47" w14:textId="241DBCA0" w:rsidR="007A7350" w:rsidRPr="00EB6243" w:rsidRDefault="007A7350" w:rsidP="007A7350">
      <w:r w:rsidRPr="00EB6243">
        <w:t xml:space="preserve">In 2008, the CCFH revised the </w:t>
      </w:r>
      <w:r w:rsidRPr="00EB6243">
        <w:rPr>
          <w:i/>
        </w:rPr>
        <w:t xml:space="preserve">Code of </w:t>
      </w:r>
      <w:r>
        <w:rPr>
          <w:i/>
        </w:rPr>
        <w:t>H</w:t>
      </w:r>
      <w:r w:rsidRPr="00EB6243">
        <w:rPr>
          <w:i/>
        </w:rPr>
        <w:t xml:space="preserve">ygienic </w:t>
      </w:r>
      <w:r>
        <w:rPr>
          <w:i/>
        </w:rPr>
        <w:t>P</w:t>
      </w:r>
      <w:r w:rsidRPr="00EB6243">
        <w:rPr>
          <w:i/>
        </w:rPr>
        <w:t xml:space="preserve">ractice for </w:t>
      </w:r>
      <w:r>
        <w:rPr>
          <w:i/>
        </w:rPr>
        <w:t>P</w:t>
      </w:r>
      <w:r w:rsidRPr="00EB6243">
        <w:rPr>
          <w:i/>
        </w:rPr>
        <w:t xml:space="preserve">owdered </w:t>
      </w:r>
      <w:r>
        <w:rPr>
          <w:i/>
        </w:rPr>
        <w:t>I</w:t>
      </w:r>
      <w:r w:rsidRPr="00EB6243">
        <w:rPr>
          <w:i/>
        </w:rPr>
        <w:t xml:space="preserve">nfant formulae for </w:t>
      </w:r>
      <w:r>
        <w:rPr>
          <w:i/>
        </w:rPr>
        <w:t>I</w:t>
      </w:r>
      <w:r w:rsidRPr="00EB6243">
        <w:rPr>
          <w:i/>
        </w:rPr>
        <w:t xml:space="preserve">nfants and </w:t>
      </w:r>
      <w:r>
        <w:rPr>
          <w:i/>
        </w:rPr>
        <w:t>Y</w:t>
      </w:r>
      <w:r w:rsidRPr="00EB6243">
        <w:rPr>
          <w:i/>
        </w:rPr>
        <w:t xml:space="preserve">oung </w:t>
      </w:r>
      <w:r>
        <w:rPr>
          <w:i/>
        </w:rPr>
        <w:t>C</w:t>
      </w:r>
      <w:r w:rsidRPr="00EB6243">
        <w:rPr>
          <w:i/>
        </w:rPr>
        <w:t>hildren</w:t>
      </w:r>
      <w:r w:rsidRPr="00EB6243">
        <w:t xml:space="preserve"> </w:t>
      </w:r>
      <w:r w:rsidRPr="00EB6243">
        <w:rPr>
          <w:i/>
        </w:rPr>
        <w:t>(CAC/RCP 66 - 2008)</w:t>
      </w:r>
      <w:r w:rsidRPr="00EB6243">
        <w:t xml:space="preserve"> in response to the emergence of </w:t>
      </w:r>
      <w:proofErr w:type="spellStart"/>
      <w:r w:rsidRPr="00EB6243">
        <w:rPr>
          <w:i/>
        </w:rPr>
        <w:t>Cronobacter</w:t>
      </w:r>
      <w:proofErr w:type="spellEnd"/>
      <w:r w:rsidRPr="00EB6243">
        <w:t xml:space="preserve"> species (referred to as </w:t>
      </w:r>
      <w:r w:rsidRPr="00EB6243">
        <w:rPr>
          <w:i/>
        </w:rPr>
        <w:t xml:space="preserve">Enterobacter </w:t>
      </w:r>
      <w:proofErr w:type="spellStart"/>
      <w:r w:rsidRPr="00EB6243">
        <w:rPr>
          <w:i/>
        </w:rPr>
        <w:t>sakazakii</w:t>
      </w:r>
      <w:proofErr w:type="spellEnd"/>
      <w:r w:rsidRPr="00EB6243">
        <w:t xml:space="preserve"> prior to 2008) as an important pathogen for infants fed with powdered infant formula (PIF). The revised code introduced a set of microbiological criteria for </w:t>
      </w:r>
      <w:proofErr w:type="spellStart"/>
      <w:r w:rsidRPr="00EB6243">
        <w:rPr>
          <w:i/>
        </w:rPr>
        <w:t>Cronobacter</w:t>
      </w:r>
      <w:proofErr w:type="spellEnd"/>
      <w:r w:rsidRPr="00EB6243">
        <w:rPr>
          <w:i/>
        </w:rPr>
        <w:t xml:space="preserve"> </w:t>
      </w:r>
      <w:r w:rsidRPr="00EB6243">
        <w:t xml:space="preserve">spp. in PIF, and reconfirmed the application of a set of microbiological criteria for </w:t>
      </w:r>
      <w:r w:rsidRPr="00EB6243">
        <w:rPr>
          <w:i/>
        </w:rPr>
        <w:t>Salmonella</w:t>
      </w:r>
      <w:r w:rsidRPr="00EB6243">
        <w:t xml:space="preserve"> spp. in both PIF and follow-up formula (FUF). </w:t>
      </w:r>
    </w:p>
    <w:p w14:paraId="54C697DD" w14:textId="77777777" w:rsidR="007A7350" w:rsidRPr="00EB6243" w:rsidRDefault="007A7350" w:rsidP="007A7350"/>
    <w:p w14:paraId="325094E7" w14:textId="2732470B" w:rsidR="002C1A3B" w:rsidRPr="00D3171B" w:rsidRDefault="007A7350" w:rsidP="002C1A3B">
      <w:pPr>
        <w:rPr>
          <w:color w:val="00B050"/>
        </w:rPr>
      </w:pPr>
      <w:r w:rsidRPr="00EB6243">
        <w:t>The FAO/WHO expert consultations identified the organisms of concern in infant formula and the relevant control measures throughout the food chain to reduce the risks for infants associated with consumption of infant formula. Guidance on how a microbiological criterion could be used to reduce relative risk was also considered in the expert consultations</w:t>
      </w:r>
      <w:r>
        <w:t>. This was achieved</w:t>
      </w:r>
      <w:r w:rsidRPr="00EB6243">
        <w:t xml:space="preserve"> by providing examples of how effective</w:t>
      </w:r>
      <w:r>
        <w:t>ly</w:t>
      </w:r>
      <w:r w:rsidRPr="00EB6243">
        <w:t xml:space="preserve"> different sampling plans are able to reject lots through detecting elevated levels of contamination and the corresponding predicted reduction in relative risk.</w:t>
      </w:r>
    </w:p>
    <w:p w14:paraId="325094E8" w14:textId="324E65CD" w:rsidR="002C1A3B" w:rsidRPr="00CD0B00" w:rsidRDefault="002C1A3B" w:rsidP="00F14077">
      <w:pPr>
        <w:pStyle w:val="Heading2"/>
        <w:numPr>
          <w:ilvl w:val="1"/>
          <w:numId w:val="18"/>
        </w:numPr>
      </w:pPr>
      <w:bookmarkStart w:id="52" w:name="_Toc370223473"/>
      <w:bookmarkStart w:id="53" w:name="_Toc370225388"/>
      <w:bookmarkStart w:id="54" w:name="_Toc440636834"/>
      <w:bookmarkStart w:id="55" w:name="_Toc175381450"/>
      <w:bookmarkEnd w:id="49"/>
      <w:bookmarkEnd w:id="50"/>
      <w:r w:rsidRPr="00CD0B00">
        <w:t>Risk management</w:t>
      </w:r>
      <w:bookmarkEnd w:id="52"/>
      <w:bookmarkEnd w:id="53"/>
      <w:bookmarkEnd w:id="54"/>
    </w:p>
    <w:p w14:paraId="4DA04CFF" w14:textId="4B3710A0" w:rsidR="00B830BE" w:rsidRDefault="00B830BE" w:rsidP="00B830BE">
      <w:bookmarkStart w:id="56" w:name="_Toc309291814"/>
      <w:bookmarkStart w:id="57" w:name="_Toc370225389"/>
      <w:bookmarkStart w:id="58" w:name="_Toc286391012"/>
      <w:bookmarkEnd w:id="55"/>
      <w:r w:rsidRPr="00BF70AB">
        <w:t>FSANZ</w:t>
      </w:r>
      <w:r>
        <w:t>’s</w:t>
      </w:r>
      <w:r w:rsidRPr="00BF70AB">
        <w:t xml:space="preserve"> risk management approach </w:t>
      </w:r>
      <w:r w:rsidR="00BC626A">
        <w:t>was</w:t>
      </w:r>
      <w:r w:rsidRPr="00BF70AB">
        <w:t xml:space="preserve"> </w:t>
      </w:r>
      <w:r>
        <w:t>to establish</w:t>
      </w:r>
      <w:r w:rsidRPr="00BF70AB">
        <w:t xml:space="preserve"> microbiological criteria as either</w:t>
      </w:r>
      <w:r>
        <w:t>:</w:t>
      </w:r>
    </w:p>
    <w:p w14:paraId="19B6C0C9" w14:textId="77777777" w:rsidR="00B830BE" w:rsidRDefault="00B830BE" w:rsidP="00B830BE"/>
    <w:p w14:paraId="130E92F3" w14:textId="77777777" w:rsidR="00B830BE" w:rsidRDefault="00B830BE" w:rsidP="00B830BE">
      <w:pPr>
        <w:pStyle w:val="FSBullet"/>
        <w:numPr>
          <w:ilvl w:val="0"/>
          <w:numId w:val="2"/>
        </w:numPr>
        <w:ind w:left="567" w:hanging="567"/>
      </w:pPr>
      <w:r w:rsidRPr="00BF70AB">
        <w:rPr>
          <w:b/>
        </w:rPr>
        <w:t>food safety criteria</w:t>
      </w:r>
      <w:r w:rsidRPr="00BF70AB">
        <w:t xml:space="preserve"> </w:t>
      </w:r>
      <w:r>
        <w:t>or</w:t>
      </w:r>
    </w:p>
    <w:p w14:paraId="6BD4D0EE" w14:textId="77777777" w:rsidR="00B830BE" w:rsidRPr="00BF70AB" w:rsidRDefault="00B830BE" w:rsidP="00B830BE">
      <w:pPr>
        <w:pStyle w:val="FSBullet"/>
        <w:numPr>
          <w:ilvl w:val="0"/>
          <w:numId w:val="2"/>
        </w:numPr>
        <w:ind w:left="567" w:hanging="567"/>
      </w:pPr>
      <w:r w:rsidRPr="00BF70AB">
        <w:rPr>
          <w:b/>
        </w:rPr>
        <w:t>process hygiene criteria</w:t>
      </w:r>
      <w:r w:rsidRPr="00BF70AB">
        <w:t xml:space="preserve"> </w:t>
      </w:r>
    </w:p>
    <w:p w14:paraId="5E60314C" w14:textId="77777777" w:rsidR="00B830BE" w:rsidRDefault="00B830BE" w:rsidP="00B830BE"/>
    <w:p w14:paraId="72BCAE79" w14:textId="77777777" w:rsidR="00B830BE" w:rsidRDefault="00B830BE" w:rsidP="00B830BE">
      <w:r>
        <w:t xml:space="preserve">Together, these microbiological criteria </w:t>
      </w:r>
      <w:r w:rsidRPr="00BF70AB">
        <w:t>provide a “fit for purpose” suite of decision criteria appropriate to the microbiological testing needed to</w:t>
      </w:r>
      <w:r>
        <w:t xml:space="preserve"> support the safe production of a food.</w:t>
      </w:r>
    </w:p>
    <w:p w14:paraId="45209BA6" w14:textId="77777777" w:rsidR="00B830BE" w:rsidRDefault="00B830BE" w:rsidP="00B830BE"/>
    <w:p w14:paraId="0EFFF7FD" w14:textId="01795EDF" w:rsidR="00B830BE" w:rsidRDefault="00B830BE" w:rsidP="00B830BE">
      <w:pPr>
        <w:pStyle w:val="FSBullet1"/>
        <w:numPr>
          <w:ilvl w:val="0"/>
          <w:numId w:val="0"/>
        </w:numPr>
      </w:pPr>
      <w:r>
        <w:t xml:space="preserve">Following consideration of the assessment findings, a basic cost-benefit analysis and the issues raised during consultation, FSANZ approved the draft variations to Standards 1.1.2 and </w:t>
      </w:r>
      <w:r w:rsidR="00C7301E">
        <w:t>Schedule 27</w:t>
      </w:r>
      <w:r>
        <w:t xml:space="preserve">. </w:t>
      </w:r>
    </w:p>
    <w:p w14:paraId="5F07F2F3" w14:textId="0CD95FBB" w:rsidR="00B830BE" w:rsidRDefault="00B830BE" w:rsidP="00B830BE">
      <w:r w:rsidRPr="00BF70AB">
        <w:t xml:space="preserve"> </w:t>
      </w:r>
    </w:p>
    <w:p w14:paraId="04B0C55C" w14:textId="0C671B8A" w:rsidR="00F14077" w:rsidRDefault="00F14077" w:rsidP="00F14077">
      <w:pPr>
        <w:pStyle w:val="FSBullet1"/>
        <w:numPr>
          <w:ilvl w:val="0"/>
          <w:numId w:val="0"/>
        </w:numPr>
      </w:pPr>
      <w:r>
        <w:t>The</w:t>
      </w:r>
      <w:r w:rsidR="00A37AFE">
        <w:t xml:space="preserve"> </w:t>
      </w:r>
      <w:r w:rsidR="00C7301E">
        <w:t xml:space="preserve">approved draft </w:t>
      </w:r>
      <w:r>
        <w:t>variation</w:t>
      </w:r>
      <w:r w:rsidRPr="00372E7D">
        <w:t xml:space="preserve"> </w:t>
      </w:r>
      <w:r w:rsidR="00C7301E">
        <w:t xml:space="preserve">will </w:t>
      </w:r>
      <w:r>
        <w:t xml:space="preserve">amend the Code to </w:t>
      </w:r>
      <w:r w:rsidRPr="00372E7D">
        <w:t>include food safety microbiological criteria for infant formula</w:t>
      </w:r>
      <w:r w:rsidR="000321F4">
        <w:t xml:space="preserve"> that is supported by the available science and</w:t>
      </w:r>
      <w:r w:rsidRPr="00372E7D">
        <w:t xml:space="preserve"> </w:t>
      </w:r>
      <w:r w:rsidR="000321F4">
        <w:t xml:space="preserve">harmonises with </w:t>
      </w:r>
      <w:r w:rsidRPr="00372E7D">
        <w:t xml:space="preserve">Codex </w:t>
      </w:r>
      <w:r>
        <w:t>by:</w:t>
      </w:r>
    </w:p>
    <w:p w14:paraId="57ABC70E" w14:textId="77777777" w:rsidR="002A1F5E" w:rsidRPr="002A1F5E" w:rsidRDefault="002A1F5E" w:rsidP="00C5670C"/>
    <w:p w14:paraId="5E8FF08C" w14:textId="3F6ECFD7" w:rsidR="00F14077" w:rsidRPr="001C65EF" w:rsidRDefault="00AF0D98" w:rsidP="00C5670C">
      <w:pPr>
        <w:pStyle w:val="FSBullet1"/>
      </w:pPr>
      <w:r>
        <w:t>r</w:t>
      </w:r>
      <w:r w:rsidR="00F14077">
        <w:t>emo</w:t>
      </w:r>
      <w:r w:rsidR="00F14077" w:rsidRPr="001C65EF">
        <w:t xml:space="preserve">ving limits for indicator tests </w:t>
      </w:r>
      <w:r w:rsidRPr="001C65EF">
        <w:t xml:space="preserve">(standard plate count and coliforms) as these </w:t>
      </w:r>
      <w:r w:rsidR="00F14077" w:rsidRPr="001C65EF">
        <w:t xml:space="preserve">are not appropriate as </w:t>
      </w:r>
      <w:r w:rsidRPr="001C65EF">
        <w:t>food safety criteria</w:t>
      </w:r>
    </w:p>
    <w:p w14:paraId="7EEBCF8C" w14:textId="783CA01C" w:rsidR="00F14077" w:rsidRPr="001C65EF" w:rsidRDefault="00AF0D98" w:rsidP="00C5670C">
      <w:pPr>
        <w:pStyle w:val="FSBullet1"/>
      </w:pPr>
      <w:r w:rsidRPr="001C65EF">
        <w:t>r</w:t>
      </w:r>
      <w:r w:rsidR="00F14077" w:rsidRPr="001C65EF">
        <w:t xml:space="preserve">emoving limits for </w:t>
      </w:r>
      <w:r w:rsidRPr="001C65EF">
        <w:t xml:space="preserve">the microorganisms </w:t>
      </w:r>
      <w:r w:rsidRPr="00C5670C">
        <w:rPr>
          <w:i/>
        </w:rPr>
        <w:t>Bacillus cereus</w:t>
      </w:r>
      <w:r w:rsidRPr="001C65EF">
        <w:t xml:space="preserve"> and coagulase positive staphylococci as the FAO/WHO expert consultations found that these do </w:t>
      </w:r>
      <w:r w:rsidR="00F14077" w:rsidRPr="001C65EF">
        <w:t>not represent a direct threat to the health of infants</w:t>
      </w:r>
    </w:p>
    <w:p w14:paraId="1BC681CE" w14:textId="48D75359" w:rsidR="00F14077" w:rsidRPr="001C65EF" w:rsidRDefault="00AF0D98" w:rsidP="00C5670C">
      <w:pPr>
        <w:pStyle w:val="FSBullet1"/>
      </w:pPr>
      <w:r w:rsidRPr="001C65EF">
        <w:t>i</w:t>
      </w:r>
      <w:r w:rsidR="00F14077" w:rsidRPr="001C65EF">
        <w:t xml:space="preserve">ntroducing </w:t>
      </w:r>
      <w:r w:rsidRPr="001C65EF">
        <w:t>limits</w:t>
      </w:r>
      <w:r w:rsidR="00F14077" w:rsidRPr="001C65EF">
        <w:t xml:space="preserve"> for </w:t>
      </w:r>
      <w:proofErr w:type="spellStart"/>
      <w:r w:rsidR="00F14077" w:rsidRPr="00C5670C">
        <w:t>Cronobacter</w:t>
      </w:r>
      <w:proofErr w:type="spellEnd"/>
      <w:r w:rsidR="00F14077" w:rsidRPr="00C5670C">
        <w:t xml:space="preserve"> </w:t>
      </w:r>
      <w:r w:rsidR="00F14077" w:rsidRPr="001C65EF">
        <w:t>species</w:t>
      </w:r>
      <w:r w:rsidRPr="001C65EF">
        <w:t xml:space="preserve"> in powdered infant formula products</w:t>
      </w:r>
      <w:r w:rsidR="00F14077" w:rsidRPr="001C65EF">
        <w:t xml:space="preserve"> </w:t>
      </w:r>
    </w:p>
    <w:p w14:paraId="3C0F1D04" w14:textId="2F2A0FF2" w:rsidR="00F14077" w:rsidRPr="001E68AA" w:rsidRDefault="00AF0D98" w:rsidP="00C5670C">
      <w:pPr>
        <w:pStyle w:val="FSBullet1"/>
      </w:pPr>
      <w:proofErr w:type="gramStart"/>
      <w:r w:rsidRPr="001C65EF">
        <w:t>a</w:t>
      </w:r>
      <w:r w:rsidR="00F14077" w:rsidRPr="001C65EF">
        <w:t>me</w:t>
      </w:r>
      <w:r w:rsidR="00F14077">
        <w:t>nding</w:t>
      </w:r>
      <w:proofErr w:type="gramEnd"/>
      <w:r w:rsidR="00F14077">
        <w:t xml:space="preserve"> the </w:t>
      </w:r>
      <w:r>
        <w:t>sampling plan</w:t>
      </w:r>
      <w:r w:rsidR="00F14077">
        <w:t xml:space="preserve"> for</w:t>
      </w:r>
      <w:r w:rsidR="00F14077" w:rsidRPr="001E68AA">
        <w:t xml:space="preserve"> </w:t>
      </w:r>
      <w:r w:rsidR="00F14077" w:rsidRPr="001E68AA">
        <w:rPr>
          <w:i/>
        </w:rPr>
        <w:t>Salmonella</w:t>
      </w:r>
      <w:r w:rsidR="00F14077" w:rsidRPr="00F14077">
        <w:t xml:space="preserve"> to </w:t>
      </w:r>
      <w:r w:rsidR="000321F4">
        <w:t>increase case stringency to</w:t>
      </w:r>
      <w:r w:rsidR="00F14077" w:rsidRPr="00F14077">
        <w:t xml:space="preserve"> that</w:t>
      </w:r>
      <w:r w:rsidR="00F14077">
        <w:rPr>
          <w:i/>
        </w:rPr>
        <w:t xml:space="preserve"> </w:t>
      </w:r>
      <w:r w:rsidR="00F14077">
        <w:t>endorsed by Codex</w:t>
      </w:r>
      <w:r w:rsidR="000321F4">
        <w:t>.</w:t>
      </w:r>
    </w:p>
    <w:p w14:paraId="40D45AD4" w14:textId="77777777" w:rsidR="00F14077" w:rsidRDefault="00F14077" w:rsidP="00F14077"/>
    <w:p w14:paraId="74C40361" w14:textId="77777777" w:rsidR="00C301B3" w:rsidRDefault="000321F4" w:rsidP="00C301B3">
      <w:pPr>
        <w:ind w:right="-188"/>
        <w:rPr>
          <w:rFonts w:cs="Arial"/>
          <w:bCs/>
          <w:color w:val="000000" w:themeColor="text1"/>
          <w:lang w:eastAsia="en-AU" w:bidi="ar-SA"/>
        </w:rPr>
      </w:pPr>
      <w:r>
        <w:t>Process hygiene criteria ha</w:t>
      </w:r>
      <w:r w:rsidR="0066383D">
        <w:t>ve</w:t>
      </w:r>
      <w:r>
        <w:t xml:space="preserve"> also been developed for </w:t>
      </w:r>
      <w:proofErr w:type="spellStart"/>
      <w:r>
        <w:t>Enterobacteriacea</w:t>
      </w:r>
      <w:proofErr w:type="spellEnd"/>
      <w:r>
        <w:t xml:space="preserve"> and Mesophilic Aerobic Bacteria </w:t>
      </w:r>
      <w:r w:rsidR="0066383D">
        <w:t>in powdered infant formula that can be</w:t>
      </w:r>
      <w:r w:rsidRPr="000321F4">
        <w:rPr>
          <w:szCs w:val="20"/>
        </w:rPr>
        <w:t xml:space="preserve"> </w:t>
      </w:r>
      <w:r w:rsidRPr="005F640E">
        <w:rPr>
          <w:szCs w:val="20"/>
        </w:rPr>
        <w:t>u</w:t>
      </w:r>
      <w:r w:rsidR="002A1F5E">
        <w:rPr>
          <w:szCs w:val="20"/>
        </w:rPr>
        <w:t xml:space="preserve">sed </w:t>
      </w:r>
      <w:r w:rsidR="0066383D">
        <w:rPr>
          <w:szCs w:val="20"/>
        </w:rPr>
        <w:t>for</w:t>
      </w:r>
      <w:r w:rsidRPr="005F640E">
        <w:rPr>
          <w:szCs w:val="20"/>
        </w:rPr>
        <w:t xml:space="preserve"> routine m</w:t>
      </w:r>
      <w:r w:rsidRPr="005F640E">
        <w:t>icrobiological s</w:t>
      </w:r>
      <w:r w:rsidRPr="005F640E">
        <w:rPr>
          <w:szCs w:val="20"/>
        </w:rPr>
        <w:t>ampling and testing as part of monitoring and verification of the food safety con</w:t>
      </w:r>
      <w:r w:rsidR="0066383D">
        <w:rPr>
          <w:szCs w:val="20"/>
        </w:rPr>
        <w:t xml:space="preserve">trol system they have in place (SD2). These will be available in a </w:t>
      </w:r>
      <w:r w:rsidR="0066383D" w:rsidRPr="005F640E">
        <w:rPr>
          <w:szCs w:val="20"/>
        </w:rPr>
        <w:t>guidance document</w:t>
      </w:r>
      <w:r w:rsidR="0066383D">
        <w:rPr>
          <w:szCs w:val="20"/>
        </w:rPr>
        <w:t xml:space="preserve"> that FSANZ is compiling</w:t>
      </w:r>
      <w:r w:rsidR="0066383D" w:rsidRPr="005F640E">
        <w:rPr>
          <w:szCs w:val="20"/>
        </w:rPr>
        <w:t xml:space="preserve"> titled </w:t>
      </w:r>
      <w:r w:rsidR="0066383D" w:rsidRPr="005F640E">
        <w:rPr>
          <w:rFonts w:cs="Arial"/>
          <w:bCs/>
          <w:i/>
          <w:color w:val="000000" w:themeColor="text1"/>
          <w:lang w:eastAsia="en-AU" w:bidi="ar-SA"/>
        </w:rPr>
        <w:t xml:space="preserve">Compendium of Microbiological Criteria for Food </w:t>
      </w:r>
      <w:r w:rsidR="00A66C4C">
        <w:rPr>
          <w:rFonts w:cs="Arial"/>
          <w:bCs/>
          <w:color w:val="000000" w:themeColor="text1"/>
          <w:lang w:eastAsia="en-AU" w:bidi="ar-SA"/>
        </w:rPr>
        <w:t xml:space="preserve">(the Compendium) </w:t>
      </w:r>
      <w:r w:rsidR="0066383D" w:rsidRPr="0066383D">
        <w:rPr>
          <w:rFonts w:cs="Arial"/>
          <w:bCs/>
          <w:color w:val="000000" w:themeColor="text1"/>
          <w:lang w:eastAsia="en-AU" w:bidi="ar-SA"/>
        </w:rPr>
        <w:t>to</w:t>
      </w:r>
      <w:r w:rsidR="0066383D" w:rsidRPr="005F640E">
        <w:rPr>
          <w:rFonts w:cs="Arial"/>
          <w:bCs/>
          <w:color w:val="000000" w:themeColor="text1"/>
          <w:lang w:eastAsia="en-AU" w:bidi="ar-SA"/>
        </w:rPr>
        <w:t xml:space="preserve"> provide guidance on appropriate process hygiene criteria for </w:t>
      </w:r>
      <w:r w:rsidR="0066383D">
        <w:rPr>
          <w:rFonts w:cs="Arial"/>
          <w:bCs/>
          <w:color w:val="000000" w:themeColor="text1"/>
          <w:lang w:eastAsia="en-AU" w:bidi="ar-SA"/>
        </w:rPr>
        <w:t>specific</w:t>
      </w:r>
      <w:r w:rsidR="0066383D" w:rsidRPr="005F640E">
        <w:rPr>
          <w:rFonts w:cs="Arial"/>
          <w:bCs/>
          <w:color w:val="000000" w:themeColor="text1"/>
          <w:lang w:eastAsia="en-AU" w:bidi="ar-SA"/>
        </w:rPr>
        <w:t xml:space="preserve"> commodities</w:t>
      </w:r>
      <w:r w:rsidR="0066383D">
        <w:rPr>
          <w:rFonts w:cs="Arial"/>
          <w:bCs/>
          <w:color w:val="000000" w:themeColor="text1"/>
          <w:lang w:eastAsia="en-AU" w:bidi="ar-SA"/>
        </w:rPr>
        <w:t xml:space="preserve"> or food types</w:t>
      </w:r>
      <w:r w:rsidR="0066383D" w:rsidRPr="005F640E">
        <w:rPr>
          <w:rFonts w:cs="Arial"/>
          <w:bCs/>
          <w:color w:val="000000" w:themeColor="text1"/>
          <w:lang w:eastAsia="en-AU" w:bidi="ar-SA"/>
        </w:rPr>
        <w:t>.</w:t>
      </w:r>
      <w:r w:rsidR="00C301B3">
        <w:rPr>
          <w:rFonts w:cs="Arial"/>
          <w:bCs/>
          <w:color w:val="000000" w:themeColor="text1"/>
          <w:lang w:eastAsia="en-AU" w:bidi="ar-SA"/>
        </w:rPr>
        <w:br w:type="page"/>
      </w:r>
    </w:p>
    <w:p w14:paraId="7957EBB1" w14:textId="1E17AFB7" w:rsidR="00F14077" w:rsidRDefault="00F14077" w:rsidP="00F14077">
      <w:r>
        <w:lastRenderedPageBreak/>
        <w:t xml:space="preserve">The draft variations </w:t>
      </w:r>
      <w:r w:rsidRPr="00545614">
        <w:t xml:space="preserve">also include consequential amendments </w:t>
      </w:r>
      <w:r>
        <w:t>t</w:t>
      </w:r>
      <w:r w:rsidR="00556919">
        <w:t xml:space="preserve">o the related Standard </w:t>
      </w:r>
      <w:r>
        <w:t xml:space="preserve">1.1.2 </w:t>
      </w:r>
      <w:r w:rsidRPr="00545614">
        <w:t xml:space="preserve">to </w:t>
      </w:r>
      <w:r>
        <w:t xml:space="preserve">address </w:t>
      </w:r>
      <w:r w:rsidRPr="00545614">
        <w:t xml:space="preserve">other elements </w:t>
      </w:r>
      <w:r>
        <w:t xml:space="preserve">which were no longer required </w:t>
      </w:r>
      <w:r w:rsidR="005A073C">
        <w:t>as a result of</w:t>
      </w:r>
      <w:r>
        <w:t xml:space="preserve"> amendments to 1.6.1</w:t>
      </w:r>
      <w:r w:rsidR="005A073C">
        <w:t>,</w:t>
      </w:r>
      <w:r w:rsidRPr="00545614">
        <w:t xml:space="preserve"> such as </w:t>
      </w:r>
      <w:r>
        <w:t>definitions.</w:t>
      </w:r>
    </w:p>
    <w:p w14:paraId="325094EA" w14:textId="77777777" w:rsidR="002C1A3B" w:rsidRPr="008C301D" w:rsidRDefault="002C1A3B" w:rsidP="002C1A3B">
      <w:pPr>
        <w:pStyle w:val="Heading2"/>
      </w:pPr>
      <w:bookmarkStart w:id="59" w:name="_Toc440636835"/>
      <w:r>
        <w:t>2</w:t>
      </w:r>
      <w:r w:rsidRPr="008C301D">
        <w:t>.</w:t>
      </w:r>
      <w:r>
        <w:t>4</w:t>
      </w:r>
      <w:r w:rsidRPr="008C301D">
        <w:tab/>
        <w:t>Risk communication</w:t>
      </w:r>
      <w:bookmarkEnd w:id="56"/>
      <w:bookmarkEnd w:id="57"/>
      <w:bookmarkEnd w:id="59"/>
      <w:r w:rsidRPr="008C301D">
        <w:t xml:space="preserve"> </w:t>
      </w:r>
    </w:p>
    <w:p w14:paraId="325094EB" w14:textId="77777777" w:rsidR="002C1A3B" w:rsidRPr="005253F5" w:rsidRDefault="002C1A3B" w:rsidP="002C1A3B">
      <w:pPr>
        <w:pStyle w:val="Heading3"/>
      </w:pPr>
      <w:bookmarkStart w:id="60" w:name="_Toc300933437"/>
      <w:bookmarkStart w:id="61" w:name="_Toc370223475"/>
      <w:bookmarkStart w:id="62" w:name="_Toc370225390"/>
      <w:bookmarkStart w:id="63" w:name="_Toc440636836"/>
      <w:r w:rsidRPr="005253F5">
        <w:t>2.4.1</w:t>
      </w:r>
      <w:r w:rsidRPr="005253F5">
        <w:tab/>
        <w:t>Consultation</w:t>
      </w:r>
      <w:bookmarkEnd w:id="60"/>
      <w:bookmarkEnd w:id="61"/>
      <w:bookmarkEnd w:id="62"/>
      <w:bookmarkEnd w:id="63"/>
    </w:p>
    <w:p w14:paraId="49FFF196" w14:textId="762B3268" w:rsidR="00610EDA" w:rsidRPr="00610EDA" w:rsidRDefault="002C1A3B" w:rsidP="00610EDA">
      <w:pPr>
        <w:rPr>
          <w:szCs w:val="22"/>
        </w:rPr>
      </w:pPr>
      <w:r w:rsidRPr="00A670A7">
        <w:rPr>
          <w:szCs w:val="22"/>
        </w:rPr>
        <w:t>Consultation is a key part of FSANZ’s standards development process.</w:t>
      </w:r>
      <w:r w:rsidR="007B5ABE">
        <w:rPr>
          <w:szCs w:val="22"/>
        </w:rPr>
        <w:t xml:space="preserve"> </w:t>
      </w:r>
      <w:r w:rsidRPr="002C1A3B">
        <w:rPr>
          <w:szCs w:val="22"/>
        </w:rPr>
        <w:t>FSANZ acknowledges the time taken by individuals and organisations to make submissions on this</w:t>
      </w:r>
      <w:r w:rsidRPr="00A670A7">
        <w:rPr>
          <w:color w:val="00B050"/>
          <w:szCs w:val="22"/>
        </w:rPr>
        <w:t xml:space="preserve"> </w:t>
      </w:r>
      <w:r w:rsidRPr="00856763">
        <w:t xml:space="preserve">Proposal. </w:t>
      </w:r>
      <w:r w:rsidR="00610EDA" w:rsidRPr="00610EDA">
        <w:rPr>
          <w:szCs w:val="22"/>
        </w:rPr>
        <w:t xml:space="preserve">Every submission was considered and reviewed by FSANZ, (see Table 1). All comments are valued and contribute to the rigour of our assessment. </w:t>
      </w:r>
    </w:p>
    <w:p w14:paraId="7AE3E96C" w14:textId="77777777" w:rsidR="00610EDA" w:rsidRPr="00610EDA" w:rsidRDefault="00610EDA" w:rsidP="00610EDA">
      <w:pPr>
        <w:rPr>
          <w:szCs w:val="22"/>
        </w:rPr>
      </w:pPr>
    </w:p>
    <w:p w14:paraId="172A53F3" w14:textId="1BE8E3B5" w:rsidR="00FD4042" w:rsidRDefault="00610EDA" w:rsidP="00FD4042">
      <w:pPr>
        <w:widowControl/>
        <w:rPr>
          <w:rFonts w:cs="Arial"/>
        </w:rPr>
      </w:pPr>
      <w:r w:rsidRPr="00610EDA">
        <w:rPr>
          <w:szCs w:val="22"/>
        </w:rPr>
        <w:t>FSANZ also undertook targeted consultation</w:t>
      </w:r>
      <w:r w:rsidR="007B5ABE">
        <w:rPr>
          <w:szCs w:val="22"/>
        </w:rPr>
        <w:t xml:space="preserve"> with</w:t>
      </w:r>
      <w:r w:rsidRPr="00610EDA">
        <w:rPr>
          <w:szCs w:val="22"/>
        </w:rPr>
        <w:t xml:space="preserve"> </w:t>
      </w:r>
      <w:r w:rsidR="00FD4042" w:rsidRPr="00A05A94">
        <w:rPr>
          <w:szCs w:val="22"/>
        </w:rPr>
        <w:t xml:space="preserve">the Infant Nutrition Council (INC) on the proposed variation and the associated Compendium. The INC </w:t>
      </w:r>
      <w:r w:rsidR="00A66C4C">
        <w:rPr>
          <w:szCs w:val="22"/>
        </w:rPr>
        <w:t xml:space="preserve">advised that </w:t>
      </w:r>
      <w:r w:rsidR="00C7301E">
        <w:rPr>
          <w:szCs w:val="22"/>
        </w:rPr>
        <w:t xml:space="preserve">the </w:t>
      </w:r>
      <w:r w:rsidR="00C7301E">
        <w:rPr>
          <w:rFonts w:cs="Arial"/>
        </w:rPr>
        <w:t xml:space="preserve">approved draft variation’s approach </w:t>
      </w:r>
      <w:r w:rsidR="00FD4042" w:rsidRPr="00A05A94">
        <w:rPr>
          <w:rFonts w:cs="Arial"/>
        </w:rPr>
        <w:t>reflect</w:t>
      </w:r>
      <w:r w:rsidR="00C7301E">
        <w:rPr>
          <w:rFonts w:cs="Arial"/>
        </w:rPr>
        <w:t>s</w:t>
      </w:r>
      <w:r w:rsidR="00FD4042">
        <w:rPr>
          <w:rFonts w:cs="Arial"/>
        </w:rPr>
        <w:t xml:space="preserve"> current </w:t>
      </w:r>
      <w:r w:rsidR="00FD4042" w:rsidRPr="00A05A94">
        <w:rPr>
          <w:rFonts w:cs="Arial"/>
        </w:rPr>
        <w:t>international developments and scientific principles. Specific</w:t>
      </w:r>
      <w:r w:rsidR="00FD4042">
        <w:rPr>
          <w:rFonts w:cs="Arial"/>
        </w:rPr>
        <w:t xml:space="preserve"> feedback included:</w:t>
      </w:r>
    </w:p>
    <w:p w14:paraId="23918EB1" w14:textId="77777777" w:rsidR="00F551F3" w:rsidRDefault="00F551F3" w:rsidP="00FD4042">
      <w:pPr>
        <w:widowControl/>
        <w:rPr>
          <w:rFonts w:cs="Arial"/>
        </w:rPr>
      </w:pPr>
    </w:p>
    <w:p w14:paraId="4DE343DA" w14:textId="50744EE0" w:rsidR="00FD4042" w:rsidRDefault="00B323C6" w:rsidP="00C5670C">
      <w:pPr>
        <w:pStyle w:val="FSBullet1"/>
      </w:pPr>
      <w:r>
        <w:t>s</w:t>
      </w:r>
      <w:r w:rsidR="00FD4042" w:rsidRPr="00A05A94">
        <w:t>upport</w:t>
      </w:r>
      <w:r w:rsidR="00286281" w:rsidRPr="00A05A94">
        <w:t xml:space="preserve"> for </w:t>
      </w:r>
      <w:r w:rsidR="00A66C4C">
        <w:t xml:space="preserve">the proposed </w:t>
      </w:r>
      <w:r w:rsidR="00FD4042" w:rsidRPr="00A05A94">
        <w:t>process hygiene criteria</w:t>
      </w:r>
      <w:r w:rsidR="00286281" w:rsidRPr="00A05A94">
        <w:t xml:space="preserve"> to </w:t>
      </w:r>
      <w:r w:rsidR="00FD4042" w:rsidRPr="00A05A94">
        <w:t xml:space="preserve">be </w:t>
      </w:r>
      <w:r w:rsidR="00A66C4C">
        <w:t xml:space="preserve">incorporated into </w:t>
      </w:r>
      <w:r w:rsidR="00FD4042" w:rsidRPr="00A05A94">
        <w:t xml:space="preserve">the Compendium </w:t>
      </w:r>
    </w:p>
    <w:p w14:paraId="22AEF357" w14:textId="68AB781F" w:rsidR="00FD4042" w:rsidRDefault="00F551F3" w:rsidP="00C5670C">
      <w:pPr>
        <w:pStyle w:val="FSBullet1"/>
      </w:pPr>
      <w:r>
        <w:t>t</w:t>
      </w:r>
      <w:r w:rsidR="00A66C4C">
        <w:t xml:space="preserve">hat the </w:t>
      </w:r>
      <w:r w:rsidR="00FD4042" w:rsidRPr="00A05A94">
        <w:t xml:space="preserve">food safety criteria which remain in the Code </w:t>
      </w:r>
      <w:r w:rsidR="00C7301E">
        <w:t>as a result of the approved</w:t>
      </w:r>
      <w:r w:rsidR="00D424C6">
        <w:t xml:space="preserve"> draft variation align with international standards </w:t>
      </w:r>
    </w:p>
    <w:p w14:paraId="2CBA0EB9" w14:textId="0D70D246" w:rsidR="00FD4042" w:rsidRPr="00A05A94" w:rsidRDefault="00FD4042" w:rsidP="00C5670C">
      <w:pPr>
        <w:pStyle w:val="FSBullet1"/>
      </w:pPr>
      <w:proofErr w:type="gramStart"/>
      <w:r w:rsidRPr="00A05A94">
        <w:t>the</w:t>
      </w:r>
      <w:proofErr w:type="gramEnd"/>
      <w:r w:rsidRPr="00A05A94">
        <w:t xml:space="preserve"> sampling plan, while stringent, reflects that the target audience is a vulnerable population. </w:t>
      </w:r>
    </w:p>
    <w:p w14:paraId="44F6B62A" w14:textId="40F3A2F7" w:rsidR="00A66C4C" w:rsidRDefault="00F551F3" w:rsidP="00C5670C">
      <w:pPr>
        <w:pStyle w:val="FSBullet1"/>
      </w:pPr>
      <w:r>
        <w:t>s</w:t>
      </w:r>
      <w:r w:rsidR="00A66C4C">
        <w:t xml:space="preserve">upport for </w:t>
      </w:r>
      <w:r w:rsidR="00D424C6">
        <w:t>t</w:t>
      </w:r>
      <w:r w:rsidR="00FD4042">
        <w:t>esting for broader p</w:t>
      </w:r>
      <w:r w:rsidR="00CD0B00">
        <w:t>athogen categories</w:t>
      </w:r>
    </w:p>
    <w:p w14:paraId="079AA851" w14:textId="77777777" w:rsidR="00A66C4C" w:rsidRDefault="00A66C4C" w:rsidP="00A66C4C">
      <w:pPr>
        <w:widowControl/>
        <w:rPr>
          <w:rFonts w:cs="Arial"/>
        </w:rPr>
      </w:pPr>
    </w:p>
    <w:p w14:paraId="46160F2C" w14:textId="1D01C008" w:rsidR="00D424C6" w:rsidRPr="00A66C4C" w:rsidRDefault="00C317AF" w:rsidP="00A66C4C">
      <w:pPr>
        <w:widowControl/>
        <w:rPr>
          <w:rFonts w:cs="Arial"/>
        </w:rPr>
      </w:pPr>
      <w:r>
        <w:rPr>
          <w:rFonts w:cs="Arial"/>
        </w:rPr>
        <w:t>T</w:t>
      </w:r>
      <w:r w:rsidR="00A66C4C">
        <w:rPr>
          <w:rFonts w:cs="Arial"/>
        </w:rPr>
        <w:t xml:space="preserve">he Compendium </w:t>
      </w:r>
      <w:r>
        <w:rPr>
          <w:rFonts w:cs="Arial"/>
        </w:rPr>
        <w:t xml:space="preserve">will be published </w:t>
      </w:r>
      <w:r w:rsidR="00D424C6" w:rsidRPr="00A66C4C">
        <w:rPr>
          <w:rFonts w:cs="Arial"/>
        </w:rPr>
        <w:t xml:space="preserve">on the FSANZ website to coincide with the </w:t>
      </w:r>
      <w:r w:rsidR="00C7301E">
        <w:rPr>
          <w:rFonts w:cs="Arial"/>
        </w:rPr>
        <w:t xml:space="preserve">commencement of the approved draft variation and related arrangements for </w:t>
      </w:r>
      <w:r w:rsidR="00D424C6" w:rsidRPr="00A66C4C">
        <w:rPr>
          <w:rFonts w:cs="Arial"/>
        </w:rPr>
        <w:t xml:space="preserve">implementation </w:t>
      </w:r>
      <w:r w:rsidR="00C7301E">
        <w:rPr>
          <w:rFonts w:cs="Arial"/>
        </w:rPr>
        <w:t>of its requirements.</w:t>
      </w:r>
    </w:p>
    <w:p w14:paraId="5D3BE5CD" w14:textId="66D6AB85" w:rsidR="00610EDA" w:rsidRPr="00610EDA" w:rsidRDefault="00610EDA" w:rsidP="00D424C6">
      <w:pPr>
        <w:pStyle w:val="ListParagraph"/>
        <w:widowControl/>
        <w:rPr>
          <w:szCs w:val="22"/>
        </w:rPr>
      </w:pPr>
    </w:p>
    <w:p w14:paraId="5DEBE028" w14:textId="1527AF0F" w:rsidR="00610EDA" w:rsidRPr="00610EDA" w:rsidRDefault="00C301B3" w:rsidP="00610EDA">
      <w:pPr>
        <w:rPr>
          <w:szCs w:val="22"/>
        </w:rPr>
      </w:pPr>
      <w:r>
        <w:rPr>
          <w:szCs w:val="22"/>
        </w:rPr>
        <w:t>The c</w:t>
      </w:r>
      <w:r w:rsidR="00610EDA" w:rsidRPr="00610EDA">
        <w:rPr>
          <w:szCs w:val="22"/>
        </w:rPr>
        <w:t xml:space="preserve">all for </w:t>
      </w:r>
      <w:r>
        <w:rPr>
          <w:szCs w:val="22"/>
        </w:rPr>
        <w:t>s</w:t>
      </w:r>
      <w:r w:rsidR="00610EDA" w:rsidRPr="00610EDA">
        <w:rPr>
          <w:szCs w:val="22"/>
        </w:rPr>
        <w:t xml:space="preserve">ubmissions was notified via the FSANZ Notification Circular, media release, FSANZ’s social media tools and Food Standards News. Every submission was considered by the FSANZ Board. </w:t>
      </w:r>
    </w:p>
    <w:p w14:paraId="3D0353F2" w14:textId="77777777" w:rsidR="00610EDA" w:rsidRPr="00610EDA" w:rsidRDefault="00610EDA" w:rsidP="00610EDA">
      <w:pPr>
        <w:rPr>
          <w:szCs w:val="22"/>
        </w:rPr>
      </w:pPr>
    </w:p>
    <w:p w14:paraId="325094F3" w14:textId="29BC31EF" w:rsidR="002C1A3B" w:rsidRPr="00FE20FE" w:rsidRDefault="00610EDA" w:rsidP="002C1A3B">
      <w:pPr>
        <w:rPr>
          <w:szCs w:val="22"/>
        </w:rPr>
      </w:pPr>
      <w:r w:rsidRPr="00610EDA">
        <w:rPr>
          <w:szCs w:val="22"/>
        </w:rPr>
        <w:t>The FSANZ Board’s decision has been notified to the Forum. If the decision is not subject to a request for a review, the public will be notified of the gazettal of the variation to the Code in national press and on the FSANZ website</w:t>
      </w:r>
      <w:r w:rsidRPr="00FE20FE">
        <w:rPr>
          <w:szCs w:val="22"/>
        </w:rPr>
        <w:t>.</w:t>
      </w:r>
    </w:p>
    <w:p w14:paraId="325094F5" w14:textId="77777777" w:rsidR="002C1A3B" w:rsidRPr="009776D2" w:rsidRDefault="002C1A3B" w:rsidP="002C1A3B">
      <w:pPr>
        <w:pStyle w:val="Heading3"/>
      </w:pPr>
      <w:bookmarkStart w:id="64" w:name="_Toc370225391"/>
      <w:bookmarkStart w:id="65" w:name="_Toc440636837"/>
      <w:bookmarkStart w:id="66" w:name="_Toc175381455"/>
      <w:bookmarkEnd w:id="31"/>
      <w:bookmarkEnd w:id="32"/>
      <w:bookmarkEnd w:id="33"/>
      <w:bookmarkEnd w:id="34"/>
      <w:bookmarkEnd w:id="35"/>
      <w:bookmarkEnd w:id="36"/>
      <w:bookmarkEnd w:id="58"/>
      <w:r w:rsidRPr="009776D2">
        <w:t>2.4.2</w:t>
      </w:r>
      <w:r w:rsidRPr="009776D2">
        <w:tab/>
      </w:r>
      <w:r w:rsidRPr="00F20A3F">
        <w:t>World Trade Organization (WTO)</w:t>
      </w:r>
      <w:bookmarkEnd w:id="64"/>
      <w:bookmarkEnd w:id="65"/>
    </w:p>
    <w:p w14:paraId="325094F6" w14:textId="77777777" w:rsidR="002C1A3B" w:rsidRPr="009776D2" w:rsidRDefault="002C1A3B" w:rsidP="002C1A3B">
      <w:pPr>
        <w:rPr>
          <w:rFonts w:cs="Arial"/>
        </w:rPr>
      </w:pPr>
      <w:r w:rsidRPr="009776D2">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14:paraId="325094F7" w14:textId="77777777" w:rsidR="002C1A3B" w:rsidRPr="009776D2" w:rsidRDefault="002C1A3B" w:rsidP="002C1A3B">
      <w:pPr>
        <w:rPr>
          <w:rFonts w:cs="Arial"/>
        </w:rPr>
      </w:pPr>
    </w:p>
    <w:p w14:paraId="325094F8" w14:textId="74D4C01F" w:rsidR="002C1A3B" w:rsidRDefault="002C1A3B" w:rsidP="002C1A3B">
      <w:pPr>
        <w:rPr>
          <w:noProof/>
        </w:rPr>
      </w:pPr>
      <w:r w:rsidRPr="009776D2">
        <w:rPr>
          <w:noProof/>
        </w:rPr>
        <w:t xml:space="preserve">FSANZ made a notification to the WTO for this Proposal in accordance with the WTO </w:t>
      </w:r>
      <w:r w:rsidRPr="00F20A3F">
        <w:rPr>
          <w:noProof/>
        </w:rPr>
        <w:t>Agreement on the Application of Sanitary and Phytosanitary Measures. No WTO member nation provided comment on this Proposal</w:t>
      </w:r>
      <w:r w:rsidR="00F20A3F" w:rsidRPr="00F20A3F">
        <w:rPr>
          <w:noProof/>
        </w:rPr>
        <w:t xml:space="preserve">. </w:t>
      </w:r>
    </w:p>
    <w:p w14:paraId="7475669E" w14:textId="77777777" w:rsidR="00C301B3" w:rsidRDefault="00C301B3" w:rsidP="002C1A3B">
      <w:pPr>
        <w:rPr>
          <w:noProof/>
        </w:rPr>
      </w:pPr>
      <w:r>
        <w:rPr>
          <w:noProof/>
        </w:rPr>
        <w:br w:type="page"/>
      </w:r>
    </w:p>
    <w:p w14:paraId="325094F9" w14:textId="77777777" w:rsidR="002C1A3B" w:rsidRPr="002C1A3B" w:rsidRDefault="002C1A3B" w:rsidP="002C1A3B">
      <w:pPr>
        <w:pStyle w:val="Heading2"/>
      </w:pPr>
      <w:bookmarkStart w:id="67" w:name="_Toc370223477"/>
      <w:bookmarkStart w:id="68" w:name="_Toc370225392"/>
      <w:bookmarkStart w:id="69" w:name="_Toc440636838"/>
      <w:bookmarkStart w:id="70" w:name="_Toc309291816"/>
      <w:bookmarkStart w:id="71" w:name="_Toc300933448"/>
      <w:bookmarkStart w:id="72" w:name="_Toc300933577"/>
      <w:bookmarkStart w:id="73" w:name="_Toc301535601"/>
      <w:bookmarkStart w:id="74" w:name="_Toc309385464"/>
      <w:bookmarkStart w:id="75" w:name="_Toc175381456"/>
      <w:bookmarkEnd w:id="66"/>
      <w:r w:rsidRPr="002C1A3B">
        <w:lastRenderedPageBreak/>
        <w:t>2.5</w:t>
      </w:r>
      <w:r w:rsidRPr="002C1A3B">
        <w:tab/>
        <w:t>FSANZ Act assessment requirements</w:t>
      </w:r>
      <w:bookmarkEnd w:id="67"/>
      <w:bookmarkEnd w:id="68"/>
      <w:bookmarkEnd w:id="69"/>
    </w:p>
    <w:p w14:paraId="325094FA" w14:textId="7006CCD5" w:rsidR="002C1A3B" w:rsidRPr="009D3ABB" w:rsidRDefault="00142CE5" w:rsidP="002C1A3B">
      <w:pPr>
        <w:pStyle w:val="Heading3"/>
      </w:pPr>
      <w:bookmarkStart w:id="76" w:name="_Toc370223478"/>
      <w:bookmarkStart w:id="77" w:name="_Toc370225393"/>
      <w:bookmarkStart w:id="78" w:name="_Toc440636839"/>
      <w:bookmarkEnd w:id="70"/>
      <w:bookmarkEnd w:id="71"/>
      <w:bookmarkEnd w:id="72"/>
      <w:bookmarkEnd w:id="73"/>
      <w:bookmarkEnd w:id="74"/>
      <w:r>
        <w:t>2.5.1</w:t>
      </w:r>
      <w:r>
        <w:tab/>
      </w:r>
      <w:r w:rsidR="002C1A3B" w:rsidRPr="009D3ABB">
        <w:t>Section 59</w:t>
      </w:r>
      <w:bookmarkEnd w:id="76"/>
      <w:bookmarkEnd w:id="77"/>
      <w:bookmarkEnd w:id="78"/>
    </w:p>
    <w:p w14:paraId="325094FB" w14:textId="59C59A77" w:rsidR="002C1A3B" w:rsidRPr="00D2543E" w:rsidRDefault="002C1A3B" w:rsidP="002C1A3B">
      <w:pPr>
        <w:pStyle w:val="Heading4"/>
      </w:pPr>
      <w:r w:rsidRPr="00D2543E">
        <w:t>2.5.1.1</w:t>
      </w:r>
      <w:r w:rsidRPr="00D2543E">
        <w:tab/>
        <w:t>Cost benefit analysis</w:t>
      </w:r>
    </w:p>
    <w:p w14:paraId="7BBAD32D" w14:textId="237F7311" w:rsidR="00983892" w:rsidRDefault="001757E3" w:rsidP="00C301B3">
      <w:pPr>
        <w:ind w:right="-472"/>
      </w:pPr>
      <w:r w:rsidRPr="00D2543E">
        <w:t>The regulatory impact on Government, industry and cons</w:t>
      </w:r>
      <w:r w:rsidR="008D18BA" w:rsidRPr="00D2543E">
        <w:t xml:space="preserve">umers </w:t>
      </w:r>
      <w:r w:rsidR="004A669A">
        <w:t>was</w:t>
      </w:r>
      <w:r w:rsidR="008D18BA" w:rsidRPr="00D2543E">
        <w:t xml:space="preserve"> considered to be minor</w:t>
      </w:r>
      <w:r w:rsidR="00F0436E">
        <w:t xml:space="preserve"> given</w:t>
      </w:r>
      <w:r w:rsidR="008D18BA" w:rsidRPr="00D2543E">
        <w:t>:</w:t>
      </w:r>
      <w:r w:rsidR="00851082" w:rsidRPr="00D2543E">
        <w:t xml:space="preserve"> </w:t>
      </w:r>
    </w:p>
    <w:p w14:paraId="2647795A" w14:textId="77777777" w:rsidR="00F551F3" w:rsidRPr="00D2543E" w:rsidRDefault="00F551F3" w:rsidP="002C1A3B"/>
    <w:p w14:paraId="5E0D1A02" w14:textId="77777777" w:rsidR="00983892" w:rsidRDefault="00851082" w:rsidP="00C5670C">
      <w:pPr>
        <w:pStyle w:val="FSBullet1"/>
      </w:pPr>
      <w:r w:rsidRPr="00D2543E">
        <w:t>Current testing requirements have been found to be out of date in terms of current scientific thinking, best practice manufacturing processes, and international standards as outlined in the World Health Organization’s Codex Alimentarius</w:t>
      </w:r>
      <w:r w:rsidRPr="00D2543E">
        <w:rPr>
          <w:rStyle w:val="FootnoteReference"/>
        </w:rPr>
        <w:footnoteReference w:id="4"/>
      </w:r>
      <w:r w:rsidRPr="00D2543E">
        <w:t xml:space="preserve"> (Codex). Removing the redundant testing regime may reduce industry testing costs and government compliance costs.</w:t>
      </w:r>
      <w:r w:rsidR="00983892" w:rsidRPr="00D2543E">
        <w:t xml:space="preserve"> </w:t>
      </w:r>
    </w:p>
    <w:p w14:paraId="7BCC1067" w14:textId="77777777" w:rsidR="001F47AF" w:rsidRPr="001F47AF" w:rsidRDefault="001F47AF" w:rsidP="00C5670C">
      <w:pPr>
        <w:rPr>
          <w:lang w:bidi="ar-SA"/>
        </w:rPr>
      </w:pPr>
    </w:p>
    <w:p w14:paraId="4F16CCAE" w14:textId="7151DB70" w:rsidR="00983892" w:rsidRPr="00D2543E" w:rsidRDefault="00983892" w:rsidP="00C5670C">
      <w:pPr>
        <w:pStyle w:val="FSBullet1"/>
      </w:pPr>
      <w:r w:rsidRPr="00D2543E">
        <w:t xml:space="preserve">The segregation </w:t>
      </w:r>
      <w:r w:rsidR="009756A2" w:rsidRPr="00D2543E">
        <w:t>of food safety and process hygiene criteria will avoid the unnecessary destruction of products and unnecessary food recalls. Failure to meet process hygiene criteria should lead to a review of the effectiveness of the businesses’ process hygiene rather than destruction of the product</w:t>
      </w:r>
      <w:r w:rsidR="002220B7" w:rsidRPr="00D2543E">
        <w:t>,</w:t>
      </w:r>
      <w:r w:rsidR="009756A2" w:rsidRPr="00D2543E">
        <w:t xml:space="preserve"> as is required in the current standard. The separation of criteria for safety and </w:t>
      </w:r>
      <w:proofErr w:type="gramStart"/>
      <w:r w:rsidR="009756A2" w:rsidRPr="00D2543E">
        <w:t>those</w:t>
      </w:r>
      <w:proofErr w:type="gramEnd"/>
      <w:r w:rsidR="009756A2" w:rsidRPr="00D2543E">
        <w:t xml:space="preserve"> indicating process hygiene is the approach adopted in Codex.</w:t>
      </w:r>
      <w:r w:rsidR="00851082" w:rsidRPr="00D2543E">
        <w:t xml:space="preserve"> </w:t>
      </w:r>
    </w:p>
    <w:p w14:paraId="24508BEC" w14:textId="77777777" w:rsidR="008D4F72" w:rsidRDefault="008D4F72" w:rsidP="008D4F72"/>
    <w:p w14:paraId="19CC467F" w14:textId="7F1ACBC3" w:rsidR="005B4830" w:rsidRDefault="00851082" w:rsidP="00FB6EF1">
      <w:r w:rsidRPr="008D4F72">
        <w:t>New testing requirements are being introduced</w:t>
      </w:r>
      <w:r w:rsidR="002220B7" w:rsidRPr="00D2543E">
        <w:t xml:space="preserve"> as part of this </w:t>
      </w:r>
      <w:r w:rsidR="001F47AF">
        <w:t>P</w:t>
      </w:r>
      <w:r w:rsidR="002220B7" w:rsidRPr="00D2543E">
        <w:t>roposal</w:t>
      </w:r>
      <w:r w:rsidRPr="00D2543E">
        <w:t>. FSANZ’s extensive consultation with industry has indicated that these will not materially increase costs as these tests are already undertaken to meet international trade requirements, and customer expectations of food safety.</w:t>
      </w:r>
      <w:r w:rsidR="00A96F51" w:rsidRPr="00D2543E">
        <w:t xml:space="preserve"> </w:t>
      </w:r>
    </w:p>
    <w:p w14:paraId="7E578874" w14:textId="77777777" w:rsidR="00170C07" w:rsidRDefault="00170C07" w:rsidP="00FB6EF1"/>
    <w:p w14:paraId="64A92790" w14:textId="6C485FCE" w:rsidR="00170C07" w:rsidRPr="00D2543E" w:rsidRDefault="00170C07" w:rsidP="00FB6EF1">
      <w:r w:rsidRPr="00D2543E">
        <w:t>The Office of Best Practice Regulation (OBPR), in a letter to FSANZ dated 14 August 2015 (reference 19531)</w:t>
      </w:r>
      <w:r>
        <w:t xml:space="preserve"> </w:t>
      </w:r>
      <w:r w:rsidRPr="00D2543E">
        <w:t xml:space="preserve">confirmed that a Regulation Impact Statement (RIS) </w:t>
      </w:r>
      <w:r>
        <w:t>was</w:t>
      </w:r>
      <w:r w:rsidRPr="00D2543E">
        <w:t xml:space="preserve"> not required for this </w:t>
      </w:r>
      <w:r>
        <w:t>P</w:t>
      </w:r>
      <w:r w:rsidRPr="00D2543E">
        <w:t xml:space="preserve">roposal. </w:t>
      </w:r>
    </w:p>
    <w:p w14:paraId="325094FF" w14:textId="4CB9280A" w:rsidR="002C1A3B" w:rsidRPr="002C1A3B" w:rsidRDefault="002C1A3B" w:rsidP="002C1A3B">
      <w:pPr>
        <w:pStyle w:val="Heading4"/>
      </w:pPr>
      <w:r w:rsidRPr="002C1A3B">
        <w:t>2.5.1.2</w:t>
      </w:r>
      <w:r w:rsidRPr="002C1A3B">
        <w:tab/>
        <w:t>Other measures</w:t>
      </w:r>
    </w:p>
    <w:p w14:paraId="32509500" w14:textId="21D2DD5E" w:rsidR="002C1A3B" w:rsidRPr="009D3ABB" w:rsidRDefault="00170C07" w:rsidP="002C1A3B">
      <w:r>
        <w:t>FSANZ is not aware of any</w:t>
      </w:r>
      <w:r w:rsidRPr="002C1A3B">
        <w:t xml:space="preserve"> </w:t>
      </w:r>
      <w:r w:rsidR="002C1A3B" w:rsidRPr="002C1A3B">
        <w:t xml:space="preserve">other measures (whether available to FSANZ or not) that would be more cost-effective than </w:t>
      </w:r>
      <w:r>
        <w:t>the approved draft variation.</w:t>
      </w:r>
    </w:p>
    <w:p w14:paraId="32509501" w14:textId="77777777" w:rsidR="002C1A3B" w:rsidRPr="002C1A3B" w:rsidRDefault="002C1A3B" w:rsidP="002C1A3B">
      <w:pPr>
        <w:pStyle w:val="Heading4"/>
      </w:pPr>
      <w:r w:rsidRPr="002C1A3B">
        <w:t>2.5.1.3</w:t>
      </w:r>
      <w:r w:rsidRPr="002C1A3B">
        <w:tab/>
        <w:t>Any relevant New Zealand standards</w:t>
      </w:r>
    </w:p>
    <w:p w14:paraId="213B9AB6" w14:textId="6D79964D" w:rsidR="009D3ABB" w:rsidRDefault="009D3ABB" w:rsidP="009D3ABB">
      <w:pPr>
        <w:rPr>
          <w:lang w:bidi="ar-SA"/>
        </w:rPr>
      </w:pPr>
      <w:r>
        <w:rPr>
          <w:lang w:bidi="ar-SA"/>
        </w:rPr>
        <w:t>Standard 1.6.1 and Schedule 27 establish microbiological limits for food for sale in Australia and New Zealand.</w:t>
      </w:r>
    </w:p>
    <w:p w14:paraId="32509503" w14:textId="77777777" w:rsidR="002C1A3B" w:rsidRPr="002C1A3B" w:rsidRDefault="002C1A3B" w:rsidP="002C1A3B">
      <w:pPr>
        <w:pStyle w:val="Heading4"/>
      </w:pPr>
      <w:r w:rsidRPr="002C1A3B">
        <w:t>2.5.1.4</w:t>
      </w:r>
      <w:r w:rsidRPr="002C1A3B">
        <w:tab/>
        <w:t>Any other relevant matters</w:t>
      </w:r>
    </w:p>
    <w:p w14:paraId="32509504" w14:textId="215AB4F9" w:rsidR="002C1A3B" w:rsidRPr="002C1A3B" w:rsidRDefault="00170C07" w:rsidP="002C1A3B">
      <w:pPr>
        <w:rPr>
          <w:lang w:bidi="ar-SA"/>
        </w:rPr>
      </w:pPr>
      <w:r>
        <w:rPr>
          <w:lang w:bidi="ar-SA"/>
        </w:rPr>
        <w:t>Other relevant matters are considered below</w:t>
      </w:r>
      <w:r w:rsidR="002C1A3B" w:rsidRPr="002C1A3B">
        <w:rPr>
          <w:lang w:bidi="ar-SA"/>
        </w:rPr>
        <w:t>.</w:t>
      </w:r>
    </w:p>
    <w:p w14:paraId="32509505" w14:textId="06E2F4F0" w:rsidR="002C1A3B" w:rsidRPr="002C1A3B" w:rsidRDefault="002C1A3B" w:rsidP="002C1A3B">
      <w:pPr>
        <w:pStyle w:val="Heading3"/>
      </w:pPr>
      <w:bookmarkStart w:id="79" w:name="_Toc370223479"/>
      <w:bookmarkStart w:id="80" w:name="_Toc370225394"/>
      <w:bookmarkStart w:id="81" w:name="_Toc440636840"/>
      <w:bookmarkStart w:id="82" w:name="_Toc300761897"/>
      <w:bookmarkStart w:id="83" w:name="_Toc300933440"/>
      <w:r w:rsidRPr="002C1A3B">
        <w:t>2.5.2</w:t>
      </w:r>
      <w:r w:rsidR="00142CE5">
        <w:tab/>
      </w:r>
      <w:r w:rsidRPr="002C1A3B">
        <w:t>Subsection 18(1)</w:t>
      </w:r>
      <w:bookmarkEnd w:id="79"/>
      <w:bookmarkEnd w:id="80"/>
      <w:bookmarkEnd w:id="81"/>
      <w:r w:rsidRPr="002C1A3B">
        <w:t xml:space="preserve"> </w:t>
      </w:r>
      <w:bookmarkEnd w:id="82"/>
      <w:bookmarkEnd w:id="83"/>
    </w:p>
    <w:p w14:paraId="32509506" w14:textId="19C1E317" w:rsidR="00C301B3" w:rsidRDefault="002C1A3B" w:rsidP="002C1A3B">
      <w:r w:rsidRPr="002C1A3B">
        <w:rPr>
          <w:rFonts w:cs="Arial"/>
        </w:rPr>
        <w:t xml:space="preserve">FSANZ </w:t>
      </w:r>
      <w:r w:rsidRPr="002C1A3B">
        <w:t>considered the three objectives in subsection 18(1) of the FSANZ Act during the assessment.</w:t>
      </w:r>
      <w:r w:rsidR="00C301B3">
        <w:br w:type="page"/>
      </w:r>
    </w:p>
    <w:p w14:paraId="32509507" w14:textId="77777777" w:rsidR="002C1A3B" w:rsidRPr="002C1A3B" w:rsidRDefault="002C1A3B" w:rsidP="002C1A3B">
      <w:pPr>
        <w:pStyle w:val="Heading4"/>
        <w:rPr>
          <w:lang w:eastAsia="en-AU"/>
        </w:rPr>
      </w:pPr>
      <w:bookmarkStart w:id="84" w:name="_Toc297029117"/>
      <w:bookmarkStart w:id="85" w:name="_Toc300761898"/>
      <w:bookmarkStart w:id="86" w:name="_Toc300933441"/>
      <w:r w:rsidRPr="002C1A3B">
        <w:rPr>
          <w:lang w:eastAsia="en-AU"/>
        </w:rPr>
        <w:lastRenderedPageBreak/>
        <w:t>2.5.2.1</w:t>
      </w:r>
      <w:r w:rsidRPr="002C1A3B">
        <w:rPr>
          <w:lang w:eastAsia="en-AU"/>
        </w:rPr>
        <w:tab/>
        <w:t>Protection of public health and safety</w:t>
      </w:r>
      <w:bookmarkEnd w:id="84"/>
      <w:bookmarkEnd w:id="85"/>
      <w:bookmarkEnd w:id="86"/>
    </w:p>
    <w:p w14:paraId="29C3DD30" w14:textId="07051954" w:rsidR="009D3ABB" w:rsidRDefault="009D3ABB" w:rsidP="009D3ABB">
      <w:bookmarkStart w:id="87" w:name="_Toc300761899"/>
      <w:bookmarkStart w:id="88" w:name="_Toc300933442"/>
      <w:r>
        <w:t>T</w:t>
      </w:r>
      <w:r w:rsidRPr="0042655E">
        <w:t>he emergence of</w:t>
      </w:r>
      <w:r>
        <w:t xml:space="preserve"> </w:t>
      </w:r>
      <w:proofErr w:type="spellStart"/>
      <w:r w:rsidRPr="00D22226">
        <w:rPr>
          <w:i/>
        </w:rPr>
        <w:t>Cronobacter</w:t>
      </w:r>
      <w:proofErr w:type="spellEnd"/>
      <w:r w:rsidRPr="00D22226">
        <w:rPr>
          <w:i/>
        </w:rPr>
        <w:t xml:space="preserve"> </w:t>
      </w:r>
      <w:r>
        <w:t xml:space="preserve">as an opportunistic pathogen with potential severe consequences, including permanent disability or fatality, led to its inclusion in the criteria for pathogenic microorganisms for powdered infant formula in the </w:t>
      </w:r>
      <w:r w:rsidRPr="006A34CD">
        <w:t xml:space="preserve">Codex </w:t>
      </w:r>
      <w:r w:rsidRPr="00F65DBA">
        <w:rPr>
          <w:rFonts w:eastAsiaTheme="minorHAnsi"/>
          <w:i/>
          <w:lang w:val="en-US"/>
        </w:rPr>
        <w:t>Code of Hygienic Practice for Powdered Formulae for Infants and Young Children</w:t>
      </w:r>
      <w:r>
        <w:t xml:space="preserve"> (</w:t>
      </w:r>
      <w:proofErr w:type="spellStart"/>
      <w:r>
        <w:t>CoHP</w:t>
      </w:r>
      <w:proofErr w:type="spellEnd"/>
      <w:r>
        <w:t xml:space="preserve">). As Schedule 27 (currently Standard 1.6.1) predates the development of the </w:t>
      </w:r>
      <w:proofErr w:type="spellStart"/>
      <w:r>
        <w:t>CoHP</w:t>
      </w:r>
      <w:proofErr w:type="spellEnd"/>
      <w:r w:rsidR="00FE20FE">
        <w:t>,</w:t>
      </w:r>
      <w:r>
        <w:t xml:space="preserve"> </w:t>
      </w:r>
      <w:r w:rsidRPr="00262F51">
        <w:t xml:space="preserve">it does </w:t>
      </w:r>
      <w:r>
        <w:t xml:space="preserve">not currently provide a microbiological limit for </w:t>
      </w:r>
      <w:proofErr w:type="spellStart"/>
      <w:r w:rsidRPr="00D22226">
        <w:rPr>
          <w:i/>
        </w:rPr>
        <w:t>Cronobacter</w:t>
      </w:r>
      <w:proofErr w:type="spellEnd"/>
      <w:r>
        <w:t>.</w:t>
      </w:r>
      <w:r w:rsidRPr="00AE2812">
        <w:t xml:space="preserve"> T</w:t>
      </w:r>
      <w:r>
        <w:t xml:space="preserve">his is out of step with international approaches which could potentially be putting infants at greater risk of contracting foodborne illness. The </w:t>
      </w:r>
      <w:r w:rsidR="00170C07">
        <w:t xml:space="preserve">approved </w:t>
      </w:r>
      <w:r>
        <w:t>draft variation addresses this</w:t>
      </w:r>
      <w:r w:rsidR="00170C07">
        <w:t xml:space="preserve"> risk</w:t>
      </w:r>
      <w:r>
        <w:t>.</w:t>
      </w:r>
    </w:p>
    <w:p w14:paraId="5A094BA9" w14:textId="77777777" w:rsidR="009D3ABB" w:rsidRDefault="009D3ABB" w:rsidP="009D3ABB"/>
    <w:p w14:paraId="31A86857" w14:textId="77777777" w:rsidR="009D3ABB" w:rsidRDefault="009D3ABB" w:rsidP="009D3ABB">
      <w:r w:rsidRPr="002B3EEA">
        <w:t>Establishing app</w:t>
      </w:r>
      <w:r>
        <w:t>ropriate microbiological limits</w:t>
      </w:r>
      <w:r w:rsidRPr="002B3EEA">
        <w:t xml:space="preserve"> for foods is an important </w:t>
      </w:r>
      <w:r>
        <w:t>element</w:t>
      </w:r>
      <w:r w:rsidRPr="002B3EEA">
        <w:t xml:space="preserve"> in a risk management framework for </w:t>
      </w:r>
      <w:r>
        <w:t>a safe</w:t>
      </w:r>
      <w:r w:rsidRPr="002B3EEA">
        <w:t xml:space="preserve"> food supply</w:t>
      </w:r>
      <w:r w:rsidRPr="002B3EEA">
        <w:rPr>
          <w:i/>
        </w:rPr>
        <w:t>.</w:t>
      </w:r>
      <w:r w:rsidRPr="002B3EEA">
        <w:t xml:space="preserve"> </w:t>
      </w:r>
    </w:p>
    <w:p w14:paraId="32509509"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87"/>
      <w:bookmarkEnd w:id="88"/>
    </w:p>
    <w:p w14:paraId="682B5212" w14:textId="0EC4E066" w:rsidR="009D3ABB" w:rsidRDefault="00170C07" w:rsidP="009D3ABB">
      <w:bookmarkStart w:id="89" w:name="_Toc300761900"/>
      <w:bookmarkStart w:id="90" w:name="_Toc300933443"/>
      <w:r w:rsidRPr="006A34CD">
        <w:t>No issues were identified</w:t>
      </w:r>
      <w:r w:rsidR="009D3ABB">
        <w:t xml:space="preserve">. </w:t>
      </w:r>
    </w:p>
    <w:p w14:paraId="3250950B"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89"/>
      <w:bookmarkEnd w:id="90"/>
    </w:p>
    <w:p w14:paraId="56A0A4E8" w14:textId="77777777" w:rsidR="009D3ABB" w:rsidRPr="006A34CD" w:rsidRDefault="009D3ABB" w:rsidP="009D3ABB">
      <w:bookmarkStart w:id="91" w:name="_Toc300761901"/>
      <w:bookmarkStart w:id="92" w:name="_Toc300933444"/>
      <w:bookmarkStart w:id="93" w:name="_Toc370223480"/>
      <w:bookmarkStart w:id="94" w:name="_Toc370225395"/>
      <w:r w:rsidRPr="006A34CD">
        <w:t>No issues were identified.</w:t>
      </w:r>
    </w:p>
    <w:p w14:paraId="3250950D"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91"/>
      <w:bookmarkEnd w:id="92"/>
      <w:r w:rsidRPr="002C1A3B">
        <w:rPr>
          <w:b/>
          <w:bCs/>
          <w:lang w:eastAsia="en-AU" w:bidi="ar-SA"/>
        </w:rPr>
        <w:t>considerations</w:t>
      </w:r>
      <w:bookmarkEnd w:id="93"/>
      <w:bookmarkEnd w:id="94"/>
    </w:p>
    <w:p w14:paraId="272DD9D3" w14:textId="77777777" w:rsidR="009D3ABB" w:rsidRPr="00914030" w:rsidRDefault="009D3ABB" w:rsidP="009D3ABB">
      <w:pPr>
        <w:rPr>
          <w:rFonts w:cs="Arial"/>
        </w:rPr>
      </w:pPr>
      <w:r w:rsidRPr="00914030">
        <w:rPr>
          <w:rFonts w:cs="Arial"/>
        </w:rPr>
        <w:t>FSANZ has also had regard to:</w:t>
      </w:r>
    </w:p>
    <w:p w14:paraId="250A3332" w14:textId="77777777" w:rsidR="009D3ABB" w:rsidRPr="00914030" w:rsidRDefault="009D3ABB" w:rsidP="009D3ABB">
      <w:pPr>
        <w:rPr>
          <w:rFonts w:cs="Arial"/>
        </w:rPr>
      </w:pPr>
    </w:p>
    <w:p w14:paraId="135AB9D7" w14:textId="77777777" w:rsidR="009D3ABB" w:rsidRPr="008828D9" w:rsidRDefault="009D3ABB" w:rsidP="005C640C">
      <w:pPr>
        <w:pStyle w:val="FSBullet1"/>
        <w:numPr>
          <w:ilvl w:val="0"/>
          <w:numId w:val="6"/>
        </w:numPr>
        <w:ind w:left="567" w:hanging="567"/>
        <w:rPr>
          <w:b/>
        </w:rPr>
      </w:pPr>
      <w:r w:rsidRPr="008828D9">
        <w:rPr>
          <w:b/>
        </w:rPr>
        <w:t>the need for standards to be based on risk analysis using the best available scientific evidence</w:t>
      </w:r>
    </w:p>
    <w:p w14:paraId="1A983B2F" w14:textId="77777777" w:rsidR="009D3ABB" w:rsidRDefault="009D3ABB" w:rsidP="009D3ABB">
      <w:pPr>
        <w:rPr>
          <w:lang w:bidi="ar-SA"/>
        </w:rPr>
      </w:pPr>
    </w:p>
    <w:p w14:paraId="5D2337E3" w14:textId="100C260F" w:rsidR="009D3ABB" w:rsidRDefault="009D3ABB" w:rsidP="009D3ABB">
      <w:pPr>
        <w:rPr>
          <w:lang w:bidi="ar-SA"/>
        </w:rPr>
      </w:pPr>
      <w:r>
        <w:rPr>
          <w:lang w:bidi="ar-SA"/>
        </w:rPr>
        <w:t xml:space="preserve">Several risk assessments have been undertaken internationally </w:t>
      </w:r>
      <w:r>
        <w:t>by the FAO/WHO which led to the development of the current Codex standards.</w:t>
      </w:r>
      <w:r>
        <w:rPr>
          <w:lang w:bidi="ar-SA"/>
        </w:rPr>
        <w:t xml:space="preserve"> FSANZ has had regard to </w:t>
      </w:r>
      <w:r w:rsidR="00A37AFE">
        <w:rPr>
          <w:lang w:bidi="ar-SA"/>
        </w:rPr>
        <w:t xml:space="preserve">that </w:t>
      </w:r>
      <w:r>
        <w:rPr>
          <w:lang w:bidi="ar-SA"/>
        </w:rPr>
        <w:t>risk assessment work in assessing P1039 and is satisfied that it reflects the best available scientific evidence.</w:t>
      </w:r>
    </w:p>
    <w:p w14:paraId="2B23FA0D" w14:textId="77777777" w:rsidR="009D3ABB" w:rsidRPr="008828D9" w:rsidRDefault="009D3ABB" w:rsidP="009D3ABB">
      <w:pPr>
        <w:rPr>
          <w:lang w:bidi="ar-SA"/>
        </w:rPr>
      </w:pPr>
    </w:p>
    <w:p w14:paraId="1E3C7E7F" w14:textId="77777777" w:rsidR="009D3ABB" w:rsidRPr="008828D9" w:rsidRDefault="009D3ABB" w:rsidP="005C640C">
      <w:pPr>
        <w:pStyle w:val="FSBullet1"/>
        <w:numPr>
          <w:ilvl w:val="0"/>
          <w:numId w:val="6"/>
        </w:numPr>
        <w:ind w:left="567" w:hanging="567"/>
        <w:rPr>
          <w:b/>
        </w:rPr>
      </w:pPr>
      <w:r w:rsidRPr="008828D9">
        <w:rPr>
          <w:b/>
        </w:rPr>
        <w:t>the promotion of consistency between domestic and international food standards</w:t>
      </w:r>
    </w:p>
    <w:p w14:paraId="11CD8357" w14:textId="77777777" w:rsidR="009D3ABB" w:rsidRDefault="009D3ABB" w:rsidP="009D3ABB">
      <w:pPr>
        <w:rPr>
          <w:lang w:bidi="ar-SA"/>
        </w:rPr>
      </w:pPr>
    </w:p>
    <w:p w14:paraId="143452BC" w14:textId="0B187E2B" w:rsidR="009D3ABB" w:rsidRDefault="009D3ABB" w:rsidP="009D3ABB">
      <w:pPr>
        <w:rPr>
          <w:lang w:bidi="ar-SA"/>
        </w:rPr>
      </w:pPr>
      <w:r>
        <w:rPr>
          <w:lang w:bidi="ar-SA"/>
        </w:rPr>
        <w:t xml:space="preserve">The </w:t>
      </w:r>
      <w:r w:rsidR="00170C07">
        <w:rPr>
          <w:lang w:bidi="ar-SA"/>
        </w:rPr>
        <w:t xml:space="preserve">approved draft variation </w:t>
      </w:r>
      <w:r>
        <w:rPr>
          <w:lang w:bidi="ar-SA"/>
        </w:rPr>
        <w:t xml:space="preserve">establishes appropriate food safety microbiological criteria for two pathogens of concern </w:t>
      </w:r>
      <w:r w:rsidR="00170C07">
        <w:rPr>
          <w:lang w:bidi="ar-SA"/>
        </w:rPr>
        <w:t xml:space="preserve">which are </w:t>
      </w:r>
      <w:r w:rsidR="00B94D60">
        <w:rPr>
          <w:lang w:bidi="ar-SA"/>
        </w:rPr>
        <w:t>consistent</w:t>
      </w:r>
      <w:r>
        <w:rPr>
          <w:lang w:bidi="ar-SA"/>
        </w:rPr>
        <w:t xml:space="preserve"> with the approach agreed internationally (through Codex) for the food safety management of infant formula.</w:t>
      </w:r>
    </w:p>
    <w:p w14:paraId="3656BDA1" w14:textId="77777777" w:rsidR="009D3ABB" w:rsidRPr="008828D9" w:rsidRDefault="009D3ABB" w:rsidP="009D3ABB">
      <w:pPr>
        <w:rPr>
          <w:lang w:bidi="ar-SA"/>
        </w:rPr>
      </w:pPr>
    </w:p>
    <w:p w14:paraId="38B5A055" w14:textId="77777777" w:rsidR="009D3ABB" w:rsidRPr="008828D9" w:rsidRDefault="009D3ABB" w:rsidP="005C640C">
      <w:pPr>
        <w:pStyle w:val="FSBullet1"/>
        <w:numPr>
          <w:ilvl w:val="0"/>
          <w:numId w:val="6"/>
        </w:numPr>
        <w:ind w:left="567" w:hanging="567"/>
        <w:rPr>
          <w:b/>
        </w:rPr>
      </w:pPr>
      <w:r w:rsidRPr="008828D9">
        <w:rPr>
          <w:b/>
        </w:rPr>
        <w:t>the desirability of an efficient and internationally competitive food industry</w:t>
      </w:r>
    </w:p>
    <w:p w14:paraId="2AD4A45D" w14:textId="77777777" w:rsidR="009D3ABB" w:rsidRDefault="009D3ABB" w:rsidP="009D3ABB">
      <w:pPr>
        <w:rPr>
          <w:lang w:bidi="ar-SA"/>
        </w:rPr>
      </w:pPr>
    </w:p>
    <w:p w14:paraId="3AB24233" w14:textId="0D653510" w:rsidR="009D3ABB" w:rsidRPr="00813F2A" w:rsidRDefault="009D3ABB" w:rsidP="009D3ABB">
      <w:pPr>
        <w:spacing w:before="120"/>
      </w:pPr>
      <w:r w:rsidRPr="002B3EEA">
        <w:rPr>
          <w:lang w:bidi="ar-SA"/>
        </w:rPr>
        <w:t xml:space="preserve">Aligning microbiological criteria with an internationally agreed approach </w:t>
      </w:r>
      <w:r w:rsidR="00B94D60">
        <w:rPr>
          <w:lang w:bidi="ar-SA"/>
        </w:rPr>
        <w:t>supports</w:t>
      </w:r>
      <w:r w:rsidRPr="002B3EEA">
        <w:rPr>
          <w:lang w:bidi="ar-SA"/>
        </w:rPr>
        <w:t xml:space="preserve"> an efficient and internationally competitive food industry. </w:t>
      </w:r>
      <w:r>
        <w:t xml:space="preserve">Australian producers are already meeting </w:t>
      </w:r>
      <w:r w:rsidR="00B94D60">
        <w:t xml:space="preserve">the </w:t>
      </w:r>
      <w:r>
        <w:t xml:space="preserve">criteria </w:t>
      </w:r>
      <w:r w:rsidR="00B94D60">
        <w:t xml:space="preserve">which are consistent with </w:t>
      </w:r>
      <w:r>
        <w:t xml:space="preserve">international regulatory requirements. </w:t>
      </w:r>
    </w:p>
    <w:p w14:paraId="63A28421" w14:textId="77777777" w:rsidR="009D3ABB" w:rsidRPr="008828D9" w:rsidRDefault="009D3ABB" w:rsidP="009D3ABB">
      <w:pPr>
        <w:rPr>
          <w:lang w:bidi="ar-SA"/>
        </w:rPr>
      </w:pPr>
    </w:p>
    <w:p w14:paraId="6CB3CB84" w14:textId="77777777" w:rsidR="009D3ABB" w:rsidRPr="008828D9" w:rsidRDefault="009D3ABB" w:rsidP="005C640C">
      <w:pPr>
        <w:pStyle w:val="FSBullet1"/>
        <w:numPr>
          <w:ilvl w:val="0"/>
          <w:numId w:val="6"/>
        </w:numPr>
        <w:ind w:left="567" w:hanging="567"/>
        <w:rPr>
          <w:b/>
        </w:rPr>
      </w:pPr>
      <w:r w:rsidRPr="008828D9">
        <w:rPr>
          <w:b/>
        </w:rPr>
        <w:t>the promotion of fair trading in food</w:t>
      </w:r>
    </w:p>
    <w:p w14:paraId="48936583" w14:textId="77777777" w:rsidR="009D3ABB" w:rsidRDefault="009D3ABB" w:rsidP="009D3ABB">
      <w:pPr>
        <w:rPr>
          <w:lang w:bidi="ar-SA"/>
        </w:rPr>
      </w:pPr>
    </w:p>
    <w:p w14:paraId="59AA3545" w14:textId="65F127B6" w:rsidR="009D3ABB" w:rsidRDefault="009D3ABB" w:rsidP="009D3ABB">
      <w:pPr>
        <w:rPr>
          <w:lang w:bidi="ar-SA"/>
        </w:rPr>
      </w:pPr>
      <w:r>
        <w:rPr>
          <w:lang w:bidi="ar-SA"/>
        </w:rPr>
        <w:t>No issues were identified.</w:t>
      </w:r>
    </w:p>
    <w:p w14:paraId="6AD77004" w14:textId="77777777" w:rsidR="008F6011" w:rsidRDefault="008F6011" w:rsidP="009D3ABB">
      <w:pPr>
        <w:rPr>
          <w:lang w:bidi="ar-SA"/>
        </w:rPr>
      </w:pPr>
    </w:p>
    <w:p w14:paraId="46B340B1" w14:textId="77777777" w:rsidR="00C301B3" w:rsidRDefault="00C301B3" w:rsidP="005C640C">
      <w:pPr>
        <w:pStyle w:val="FSBullet1"/>
        <w:numPr>
          <w:ilvl w:val="0"/>
          <w:numId w:val="6"/>
        </w:numPr>
        <w:ind w:left="567" w:hanging="567"/>
        <w:rPr>
          <w:b/>
        </w:rPr>
      </w:pPr>
      <w:r>
        <w:rPr>
          <w:b/>
        </w:rPr>
        <w:br w:type="page"/>
      </w:r>
    </w:p>
    <w:p w14:paraId="71CA7A5F" w14:textId="3B946353" w:rsidR="009D3ABB" w:rsidRPr="005E2F53" w:rsidRDefault="009D3ABB" w:rsidP="005C640C">
      <w:pPr>
        <w:pStyle w:val="FSBullet1"/>
        <w:numPr>
          <w:ilvl w:val="0"/>
          <w:numId w:val="6"/>
        </w:numPr>
        <w:ind w:left="567" w:hanging="567"/>
      </w:pPr>
      <w:r w:rsidRPr="008828D9">
        <w:rPr>
          <w:b/>
        </w:rPr>
        <w:lastRenderedPageBreak/>
        <w:t>any written policy guidelines formulated by the</w:t>
      </w:r>
      <w:r w:rsidR="00C301B3">
        <w:rPr>
          <w:b/>
        </w:rPr>
        <w:t xml:space="preserve"> Forum on Food Regulation</w:t>
      </w:r>
    </w:p>
    <w:p w14:paraId="7FC57456" w14:textId="77777777" w:rsidR="009D3ABB" w:rsidRDefault="009D3ABB" w:rsidP="009D3ABB">
      <w:pPr>
        <w:rPr>
          <w:lang w:bidi="ar-SA"/>
        </w:rPr>
      </w:pPr>
    </w:p>
    <w:p w14:paraId="579D74CA" w14:textId="600B8A1B" w:rsidR="0076521C" w:rsidRPr="002B3EEA" w:rsidRDefault="009D3ABB" w:rsidP="009D3ABB">
      <w:r w:rsidRPr="002B3EEA">
        <w:t>There are no written policy guidelines relevant to the assessment of this Proposal.</w:t>
      </w:r>
    </w:p>
    <w:p w14:paraId="32509529" w14:textId="7584DC5A" w:rsidR="001122EC" w:rsidRPr="009D3ABB" w:rsidRDefault="001F47AF" w:rsidP="001122EC">
      <w:pPr>
        <w:pStyle w:val="Heading1"/>
      </w:pPr>
      <w:bookmarkStart w:id="95" w:name="_Toc440636842"/>
      <w:bookmarkEnd w:id="75"/>
      <w:r>
        <w:t>3</w:t>
      </w:r>
      <w:r w:rsidR="006C22A7" w:rsidRPr="0073248F">
        <w:tab/>
      </w:r>
      <w:bookmarkStart w:id="96" w:name="_Toc11735643"/>
      <w:bookmarkStart w:id="97" w:name="_Toc29883130"/>
      <w:bookmarkStart w:id="98" w:name="_Toc41906817"/>
      <w:bookmarkStart w:id="99" w:name="_Toc41907564"/>
      <w:bookmarkStart w:id="100" w:name="_Toc43112360"/>
      <w:r w:rsidR="001122EC" w:rsidRPr="0073248F">
        <w:t>R</w:t>
      </w:r>
      <w:r w:rsidR="000B427A" w:rsidRPr="0073248F">
        <w:t>eferences</w:t>
      </w:r>
      <w:bookmarkEnd w:id="95"/>
    </w:p>
    <w:p w14:paraId="658CE609" w14:textId="77777777" w:rsidR="009D3ABB" w:rsidRPr="009D3ABB" w:rsidRDefault="009D3ABB" w:rsidP="009D3ABB">
      <w:pPr>
        <w:rPr>
          <w:rFonts w:cs="Arial"/>
          <w:sz w:val="20"/>
          <w:szCs w:val="20"/>
          <w:lang w:eastAsia="en-AU" w:bidi="ar-SA"/>
        </w:rPr>
      </w:pPr>
      <w:r w:rsidRPr="009D3ABB">
        <w:rPr>
          <w:rFonts w:cs="Arial"/>
          <w:sz w:val="20"/>
          <w:szCs w:val="20"/>
          <w:lang w:eastAsia="en-AU" w:bidi="ar-SA"/>
        </w:rPr>
        <w:t xml:space="preserve">Codex (2008) </w:t>
      </w:r>
      <w:r w:rsidRPr="009D3ABB">
        <w:rPr>
          <w:rFonts w:cs="Arial"/>
          <w:i/>
          <w:sz w:val="20"/>
          <w:szCs w:val="20"/>
          <w:lang w:eastAsia="en-AU" w:bidi="ar-SA"/>
        </w:rPr>
        <w:t>Code of hygienic practice for powdered infant formulae for infants and young children</w:t>
      </w:r>
      <w:r w:rsidRPr="009D3ABB">
        <w:rPr>
          <w:rFonts w:cs="Arial"/>
          <w:sz w:val="20"/>
          <w:szCs w:val="20"/>
          <w:lang w:eastAsia="en-AU" w:bidi="ar-SA"/>
        </w:rPr>
        <w:t xml:space="preserve"> (CAC/RCP 66 – 2008), </w:t>
      </w:r>
      <w:hyperlink r:id="rId17" w:history="1">
        <w:r w:rsidRPr="009D3ABB">
          <w:rPr>
            <w:rStyle w:val="Hyperlink"/>
            <w:rFonts w:cs="Arial"/>
            <w:sz w:val="20"/>
            <w:szCs w:val="20"/>
            <w:lang w:eastAsia="en-AU" w:bidi="ar-SA"/>
          </w:rPr>
          <w:t>http://www.codexalimentarius.org/standards/list-standards/en/?no_cache=1</w:t>
        </w:r>
      </w:hyperlink>
      <w:r w:rsidRPr="009D3ABB">
        <w:rPr>
          <w:rFonts w:cs="Arial"/>
          <w:sz w:val="20"/>
          <w:szCs w:val="20"/>
          <w:lang w:eastAsia="en-AU" w:bidi="ar-SA"/>
        </w:rPr>
        <w:t xml:space="preserve"> accessed 28 July 2015.</w:t>
      </w:r>
    </w:p>
    <w:p w14:paraId="6961CFA4" w14:textId="77777777" w:rsidR="009D3ABB" w:rsidRPr="009D3ABB" w:rsidRDefault="009D3ABB" w:rsidP="009D3ABB">
      <w:pPr>
        <w:rPr>
          <w:rFonts w:cs="Arial"/>
          <w:sz w:val="20"/>
          <w:szCs w:val="20"/>
          <w:lang w:eastAsia="en-AU" w:bidi="ar-SA"/>
        </w:rPr>
      </w:pPr>
    </w:p>
    <w:p w14:paraId="6867C7C1" w14:textId="77777777" w:rsidR="009D3ABB" w:rsidRPr="009D3ABB" w:rsidRDefault="009D3ABB" w:rsidP="009D3ABB">
      <w:pPr>
        <w:rPr>
          <w:sz w:val="20"/>
          <w:szCs w:val="20"/>
        </w:rPr>
      </w:pPr>
      <w:proofErr w:type="gramStart"/>
      <w:r w:rsidRPr="009D3ABB">
        <w:rPr>
          <w:sz w:val="20"/>
          <w:szCs w:val="20"/>
        </w:rPr>
        <w:t xml:space="preserve">Codex (2013) </w:t>
      </w:r>
      <w:r w:rsidRPr="009D3ABB">
        <w:rPr>
          <w:i/>
          <w:sz w:val="20"/>
          <w:szCs w:val="20"/>
        </w:rPr>
        <w:t xml:space="preserve">Principles and Guidelines for the Establishment and Application of Microbiological Criteria for Foods </w:t>
      </w:r>
      <w:r w:rsidRPr="009D3ABB">
        <w:rPr>
          <w:sz w:val="20"/>
          <w:szCs w:val="20"/>
        </w:rPr>
        <w:t>(CAC/GL 21 – 1997 [revised and renamed 2013]).</w:t>
      </w:r>
      <w:proofErr w:type="gramEnd"/>
      <w:r w:rsidRPr="009D3ABB">
        <w:rPr>
          <w:sz w:val="20"/>
          <w:szCs w:val="20"/>
        </w:rPr>
        <w:t xml:space="preserve"> </w:t>
      </w:r>
      <w:proofErr w:type="gramStart"/>
      <w:r w:rsidRPr="009D3ABB">
        <w:rPr>
          <w:sz w:val="20"/>
          <w:szCs w:val="20"/>
        </w:rPr>
        <w:t>Codex Alimentarius Commission, Geneva, Switzerland.</w:t>
      </w:r>
      <w:proofErr w:type="gramEnd"/>
    </w:p>
    <w:p w14:paraId="706716A5" w14:textId="77777777" w:rsidR="009D3ABB" w:rsidRPr="009D3ABB" w:rsidRDefault="009D3ABB" w:rsidP="009D3ABB">
      <w:pPr>
        <w:rPr>
          <w:sz w:val="20"/>
          <w:szCs w:val="20"/>
        </w:rPr>
      </w:pPr>
    </w:p>
    <w:p w14:paraId="2624D2F4" w14:textId="77777777" w:rsidR="001B189C" w:rsidRPr="005213A2" w:rsidRDefault="001B189C" w:rsidP="001B189C">
      <w:pPr>
        <w:widowControl/>
        <w:rPr>
          <w:rFonts w:cs="Arial"/>
          <w:sz w:val="20"/>
          <w:szCs w:val="20"/>
          <w:lang w:eastAsia="en-AU" w:bidi="ar-SA"/>
        </w:rPr>
      </w:pPr>
      <w:r w:rsidRPr="005213A2">
        <w:rPr>
          <w:rFonts w:cs="Arial"/>
          <w:sz w:val="20"/>
          <w:szCs w:val="20"/>
          <w:lang w:eastAsia="en-AU" w:bidi="ar-SA"/>
        </w:rPr>
        <w:t xml:space="preserve">FAO/WHO (2004) </w:t>
      </w:r>
      <w:r w:rsidRPr="005213A2">
        <w:rPr>
          <w:rFonts w:cs="Arial"/>
          <w:i/>
          <w:sz w:val="20"/>
          <w:szCs w:val="20"/>
          <w:lang w:eastAsia="en-AU" w:bidi="ar-SA"/>
        </w:rPr>
        <w:t xml:space="preserve">Enterobacter </w:t>
      </w:r>
      <w:proofErr w:type="spellStart"/>
      <w:r w:rsidRPr="005213A2">
        <w:rPr>
          <w:rFonts w:cs="Arial"/>
          <w:i/>
          <w:sz w:val="20"/>
          <w:szCs w:val="20"/>
          <w:lang w:eastAsia="en-AU" w:bidi="ar-SA"/>
        </w:rPr>
        <w:t>sakazakii</w:t>
      </w:r>
      <w:proofErr w:type="spellEnd"/>
      <w:r w:rsidRPr="005213A2">
        <w:rPr>
          <w:rFonts w:cs="Arial"/>
          <w:sz w:val="20"/>
          <w:szCs w:val="20"/>
          <w:lang w:eastAsia="en-AU" w:bidi="ar-SA"/>
        </w:rPr>
        <w:t xml:space="preserve"> and microorganisms in powdered infant formula: Meeting Report</w:t>
      </w:r>
    </w:p>
    <w:p w14:paraId="749BB478" w14:textId="77777777" w:rsidR="001B189C" w:rsidRDefault="001B189C" w:rsidP="009D3ABB">
      <w:pPr>
        <w:rPr>
          <w:sz w:val="20"/>
          <w:szCs w:val="20"/>
        </w:rPr>
      </w:pPr>
    </w:p>
    <w:p w14:paraId="3DDCA87C" w14:textId="77777777" w:rsidR="009D3ABB" w:rsidRDefault="009D3ABB" w:rsidP="009D3ABB">
      <w:pPr>
        <w:rPr>
          <w:sz w:val="20"/>
          <w:szCs w:val="20"/>
        </w:rPr>
      </w:pPr>
      <w:r w:rsidRPr="009D3ABB">
        <w:rPr>
          <w:sz w:val="20"/>
          <w:szCs w:val="20"/>
        </w:rPr>
        <w:t xml:space="preserve">International Commission on Microbiological Specifications for Foods (2002) </w:t>
      </w:r>
      <w:r w:rsidRPr="009D3ABB">
        <w:rPr>
          <w:i/>
          <w:sz w:val="20"/>
          <w:szCs w:val="20"/>
        </w:rPr>
        <w:t>Microorganisms in Foods 7: Microbiological Testing in Food Safety Management</w:t>
      </w:r>
      <w:r w:rsidRPr="009D3ABB">
        <w:rPr>
          <w:sz w:val="20"/>
          <w:szCs w:val="20"/>
        </w:rPr>
        <w:t xml:space="preserve">. </w:t>
      </w:r>
      <w:proofErr w:type="gramStart"/>
      <w:r w:rsidRPr="009D3ABB">
        <w:rPr>
          <w:sz w:val="20"/>
          <w:szCs w:val="20"/>
        </w:rPr>
        <w:t>Springer, New York.</w:t>
      </w:r>
      <w:proofErr w:type="gramEnd"/>
      <w:r w:rsidRPr="009D3ABB">
        <w:rPr>
          <w:sz w:val="20"/>
          <w:szCs w:val="20"/>
        </w:rPr>
        <w:t xml:space="preserve"> </w:t>
      </w:r>
    </w:p>
    <w:p w14:paraId="4254B56A" w14:textId="77777777" w:rsidR="001B189C" w:rsidRPr="009D3ABB" w:rsidRDefault="001B189C" w:rsidP="009D3ABB">
      <w:pPr>
        <w:rPr>
          <w:sz w:val="20"/>
          <w:szCs w:val="20"/>
        </w:rPr>
      </w:pPr>
    </w:p>
    <w:p w14:paraId="3250952A" w14:textId="1869915E" w:rsidR="001122EC" w:rsidRDefault="009D3ABB" w:rsidP="001122EC">
      <w:pPr>
        <w:rPr>
          <w:color w:val="00B050"/>
          <w:sz w:val="20"/>
          <w:szCs w:val="20"/>
        </w:rPr>
      </w:pPr>
      <w:r w:rsidRPr="009D3ABB">
        <w:rPr>
          <w:sz w:val="20"/>
          <w:szCs w:val="20"/>
        </w:rPr>
        <w:t xml:space="preserve">International Commission on Microbiological Specifications for Foods (2011) </w:t>
      </w:r>
      <w:r w:rsidRPr="009D3ABB">
        <w:rPr>
          <w:i/>
          <w:sz w:val="20"/>
          <w:szCs w:val="20"/>
        </w:rPr>
        <w:t>Microorganisms in Foods 8: Use of Data for Assessing Process Control and Product Acceptance</w:t>
      </w:r>
      <w:r w:rsidRPr="009D3ABB">
        <w:rPr>
          <w:sz w:val="20"/>
          <w:szCs w:val="20"/>
        </w:rPr>
        <w:t xml:space="preserve">. </w:t>
      </w:r>
      <w:proofErr w:type="gramStart"/>
      <w:r w:rsidRPr="009D3ABB">
        <w:rPr>
          <w:sz w:val="20"/>
          <w:szCs w:val="20"/>
        </w:rPr>
        <w:t>Springer, New York.</w:t>
      </w:r>
      <w:proofErr w:type="gramEnd"/>
    </w:p>
    <w:p w14:paraId="3250952B" w14:textId="77777777" w:rsidR="0012388D" w:rsidRDefault="00D15A08" w:rsidP="006C22A7">
      <w:pPr>
        <w:spacing w:before="240"/>
        <w:rPr>
          <w:b/>
          <w:sz w:val="28"/>
          <w:szCs w:val="28"/>
        </w:rPr>
      </w:pPr>
      <w:r w:rsidRPr="006C22A7">
        <w:rPr>
          <w:b/>
          <w:sz w:val="28"/>
          <w:szCs w:val="28"/>
        </w:rPr>
        <w:t>A</w:t>
      </w:r>
      <w:bookmarkEnd w:id="96"/>
      <w:bookmarkEnd w:id="97"/>
      <w:bookmarkEnd w:id="98"/>
      <w:bookmarkEnd w:id="99"/>
      <w:bookmarkEnd w:id="100"/>
      <w:r w:rsidR="00B21055">
        <w:rPr>
          <w:b/>
          <w:sz w:val="28"/>
          <w:szCs w:val="28"/>
        </w:rPr>
        <w:t>ttachments</w:t>
      </w:r>
    </w:p>
    <w:p w14:paraId="3250952C" w14:textId="77777777" w:rsidR="006C22A7" w:rsidRDefault="006C22A7" w:rsidP="00755F02"/>
    <w:p w14:paraId="3250952D" w14:textId="255F2BDF" w:rsidR="00795D86" w:rsidRDefault="00755F02" w:rsidP="00456BD5">
      <w:pPr>
        <w:ind w:left="567" w:hanging="567"/>
      </w:pPr>
      <w:r>
        <w:t>A.</w:t>
      </w:r>
      <w:r>
        <w:tab/>
      </w:r>
      <w:r w:rsidR="009A2699" w:rsidRPr="009A2699">
        <w:t xml:space="preserve">Approved </w:t>
      </w:r>
      <w:r w:rsidR="00E47D3B">
        <w:t xml:space="preserve">draft </w:t>
      </w:r>
      <w:r w:rsidR="000576EB" w:rsidRPr="009F4096">
        <w:t>variation</w:t>
      </w:r>
      <w:r w:rsidR="000576EB">
        <w:t xml:space="preserve">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250952E"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32509530" w14:textId="5FFF6B86" w:rsidR="003C4969" w:rsidRPr="009F4096" w:rsidRDefault="00456BD5" w:rsidP="009D3ABB">
      <w:pPr>
        <w:ind w:left="567" w:hanging="567"/>
      </w:pPr>
      <w:r w:rsidRPr="009F4096">
        <w:t>C.</w:t>
      </w:r>
      <w:r w:rsidRPr="009F4096">
        <w:tab/>
      </w:r>
      <w:r w:rsidR="00E47D3B" w:rsidRPr="009F4096">
        <w:t xml:space="preserve">Draft variation to the </w:t>
      </w:r>
      <w:r w:rsidR="00E47D3B" w:rsidRPr="009F4096">
        <w:rPr>
          <w:i/>
        </w:rPr>
        <w:t xml:space="preserve">Australia New Zealand Food Standards Code </w:t>
      </w:r>
      <w:r w:rsidR="00E47D3B" w:rsidRPr="009F4096">
        <w:t>(call for submissions)</w:t>
      </w:r>
    </w:p>
    <w:p w14:paraId="32509531" w14:textId="6E30B7C2" w:rsidR="00456BD5" w:rsidRDefault="003C4969" w:rsidP="00456BD5">
      <w:pPr>
        <w:pStyle w:val="Heading2"/>
        <w:ind w:left="0" w:firstLine="0"/>
        <w:rPr>
          <w:i/>
        </w:rPr>
      </w:pPr>
      <w:r w:rsidRPr="00932F14">
        <w:br w:type="page"/>
      </w:r>
      <w:bookmarkStart w:id="101" w:name="_Toc29883131"/>
      <w:bookmarkStart w:id="102" w:name="_Toc41906818"/>
      <w:bookmarkStart w:id="103" w:name="_Toc41907565"/>
      <w:bookmarkStart w:id="104" w:name="_Toc120358596"/>
      <w:bookmarkStart w:id="105" w:name="_Toc175381458"/>
      <w:bookmarkStart w:id="106" w:name="_Toc11735644"/>
      <w:bookmarkStart w:id="107" w:name="_Toc440636843"/>
      <w:r w:rsidRPr="00932F14">
        <w:lastRenderedPageBreak/>
        <w:t xml:space="preserve">Attachment </w:t>
      </w:r>
      <w:bookmarkEnd w:id="101"/>
      <w:bookmarkEnd w:id="102"/>
      <w:bookmarkEnd w:id="103"/>
      <w:bookmarkEnd w:id="104"/>
      <w:bookmarkEnd w:id="105"/>
      <w:r w:rsidR="00456B54">
        <w:t>A</w:t>
      </w:r>
      <w:bookmarkStart w:id="108" w:name="_Toc120358597"/>
      <w:bookmarkStart w:id="109" w:name="_Toc175381459"/>
      <w:bookmarkEnd w:id="106"/>
      <w:r w:rsidR="00755F02">
        <w:t xml:space="preserve"> –</w:t>
      </w:r>
      <w:bookmarkStart w:id="110" w:name="_Toc120358598"/>
      <w:bookmarkStart w:id="111" w:name="_Toc175381460"/>
      <w:bookmarkEnd w:id="108"/>
      <w:bookmarkEnd w:id="109"/>
      <w:r w:rsidR="005E06C0">
        <w:t xml:space="preserve"> </w:t>
      </w:r>
      <w:r w:rsidR="00456BD5">
        <w:t>Approved</w:t>
      </w:r>
      <w:r w:rsidR="00456BD5" w:rsidRPr="00932F14">
        <w:t xml:space="preserve"> </w:t>
      </w:r>
      <w:r w:rsidR="00456BD5">
        <w:t xml:space="preserve">draft </w:t>
      </w:r>
      <w:r w:rsidR="00456BD5" w:rsidRPr="00932F14">
        <w:t>variati</w:t>
      </w:r>
      <w:r w:rsidR="00456BD5" w:rsidRPr="009F4096">
        <w:t>on</w:t>
      </w:r>
      <w:r w:rsidR="00DD3DA2">
        <w:t xml:space="preserve"> </w:t>
      </w:r>
      <w:r w:rsidR="00456BD5" w:rsidRPr="00932F14">
        <w:t>to the</w:t>
      </w:r>
      <w:r w:rsidR="00456BD5" w:rsidRPr="00755F02">
        <w:t xml:space="preserve"> </w:t>
      </w:r>
      <w:r w:rsidR="00456BD5" w:rsidRPr="00795D86">
        <w:rPr>
          <w:i/>
        </w:rPr>
        <w:t>Australia New Zealand Food Standards Code</w:t>
      </w:r>
      <w:bookmarkEnd w:id="107"/>
    </w:p>
    <w:p w14:paraId="6ADD37BB" w14:textId="77777777" w:rsidR="00363C49" w:rsidRPr="00C0014E" w:rsidRDefault="00363C49" w:rsidP="00B323C6">
      <w:pPr>
        <w:rPr>
          <w:noProof/>
          <w:lang w:val="en-AU" w:eastAsia="en-AU"/>
        </w:rPr>
      </w:pPr>
      <w:r w:rsidRPr="00C0014E">
        <w:rPr>
          <w:noProof/>
          <w:lang w:eastAsia="en-GB" w:bidi="ar-SA"/>
        </w:rPr>
        <w:drawing>
          <wp:inline distT="0" distB="0" distL="0" distR="0" wp14:anchorId="05DF7417" wp14:editId="68753EA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3AFE1AB" w14:textId="77777777" w:rsidR="00363C49" w:rsidRPr="006153A1" w:rsidRDefault="00363C49" w:rsidP="00363C49">
      <w:pPr>
        <w:pBdr>
          <w:bottom w:val="single" w:sz="4" w:space="1" w:color="auto"/>
        </w:pBdr>
        <w:rPr>
          <w:b/>
          <w:bCs/>
        </w:rPr>
      </w:pPr>
    </w:p>
    <w:p w14:paraId="4D7123C7" w14:textId="77777777" w:rsidR="00363C49" w:rsidRDefault="00363C49" w:rsidP="00363C49">
      <w:pPr>
        <w:pBdr>
          <w:bottom w:val="single" w:sz="4" w:space="1" w:color="auto"/>
        </w:pBdr>
        <w:rPr>
          <w:b/>
          <w:sz w:val="20"/>
        </w:rPr>
      </w:pPr>
      <w:r w:rsidRPr="006153A1">
        <w:rPr>
          <w:b/>
          <w:sz w:val="20"/>
        </w:rPr>
        <w:t>Food Standards (</w:t>
      </w:r>
      <w:r w:rsidRPr="00F618DF">
        <w:rPr>
          <w:b/>
          <w:sz w:val="20"/>
        </w:rPr>
        <w:t xml:space="preserve">Proposal </w:t>
      </w:r>
      <w:r>
        <w:rPr>
          <w:b/>
          <w:sz w:val="20"/>
        </w:rPr>
        <w:t>P1039</w:t>
      </w:r>
      <w:r w:rsidRPr="00F618DF">
        <w:rPr>
          <w:b/>
          <w:sz w:val="20"/>
        </w:rPr>
        <w:t xml:space="preserve"> </w:t>
      </w:r>
      <w:r w:rsidRPr="00A32232">
        <w:rPr>
          <w:b/>
          <w:sz w:val="20"/>
        </w:rPr>
        <w:t xml:space="preserve">– </w:t>
      </w:r>
      <w:r>
        <w:rPr>
          <w:b/>
          <w:sz w:val="20"/>
        </w:rPr>
        <w:t>Microbiological Criteria for Infant Formula)</w:t>
      </w:r>
      <w:r w:rsidRPr="00C0014E">
        <w:rPr>
          <w:b/>
          <w:sz w:val="20"/>
        </w:rPr>
        <w:t xml:space="preserve"> Variation</w:t>
      </w:r>
    </w:p>
    <w:p w14:paraId="08766E26" w14:textId="77777777" w:rsidR="00363C49" w:rsidRPr="00C0014E" w:rsidRDefault="00363C49" w:rsidP="00363C49">
      <w:pPr>
        <w:pBdr>
          <w:bottom w:val="single" w:sz="4" w:space="1" w:color="auto"/>
        </w:pBdr>
        <w:rPr>
          <w:b/>
          <w:sz w:val="20"/>
        </w:rPr>
      </w:pPr>
    </w:p>
    <w:p w14:paraId="426C6E03" w14:textId="77777777" w:rsidR="00363C49" w:rsidRPr="008F2616" w:rsidRDefault="00363C49" w:rsidP="00363C49">
      <w:pPr>
        <w:rPr>
          <w:sz w:val="20"/>
        </w:rPr>
      </w:pPr>
    </w:p>
    <w:p w14:paraId="54C54A7F" w14:textId="77777777" w:rsidR="00363C49" w:rsidRPr="008F2616" w:rsidRDefault="00363C49" w:rsidP="00363C49">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2FC7C912" w14:textId="77777777" w:rsidR="00363C49" w:rsidRPr="008F2616" w:rsidRDefault="00363C49" w:rsidP="00363C49">
      <w:pPr>
        <w:rPr>
          <w:sz w:val="20"/>
        </w:rPr>
      </w:pPr>
    </w:p>
    <w:p w14:paraId="1E7996B3" w14:textId="77777777" w:rsidR="00363C49" w:rsidRPr="008F2616" w:rsidRDefault="00363C49" w:rsidP="00363C49">
      <w:pPr>
        <w:rPr>
          <w:sz w:val="20"/>
        </w:rPr>
      </w:pPr>
      <w:r w:rsidRPr="008F2616">
        <w:rPr>
          <w:sz w:val="20"/>
        </w:rPr>
        <w:t xml:space="preserve">Dated </w:t>
      </w:r>
      <w:r>
        <w:rPr>
          <w:sz w:val="20"/>
        </w:rPr>
        <w:t>[To be completed by Standards Management Officer]</w:t>
      </w:r>
    </w:p>
    <w:p w14:paraId="39971EBB" w14:textId="77777777" w:rsidR="00363C49" w:rsidRPr="008F2616" w:rsidRDefault="00363C49" w:rsidP="00363C49">
      <w:pPr>
        <w:rPr>
          <w:sz w:val="20"/>
        </w:rPr>
      </w:pPr>
    </w:p>
    <w:p w14:paraId="7582AD45" w14:textId="77777777" w:rsidR="00363C49" w:rsidRDefault="00363C49" w:rsidP="00363C49">
      <w:pPr>
        <w:rPr>
          <w:sz w:val="20"/>
        </w:rPr>
      </w:pPr>
    </w:p>
    <w:p w14:paraId="313E18E4" w14:textId="77777777" w:rsidR="00363C49" w:rsidRDefault="00363C49" w:rsidP="00363C49">
      <w:pPr>
        <w:rPr>
          <w:sz w:val="20"/>
        </w:rPr>
      </w:pPr>
    </w:p>
    <w:p w14:paraId="364DC12A" w14:textId="77777777" w:rsidR="00363C49" w:rsidRPr="008F2616" w:rsidRDefault="00363C49" w:rsidP="00363C49">
      <w:pPr>
        <w:rPr>
          <w:sz w:val="20"/>
        </w:rPr>
      </w:pPr>
    </w:p>
    <w:p w14:paraId="5FF83608" w14:textId="77777777" w:rsidR="00363C49" w:rsidRPr="008F2616" w:rsidRDefault="00363C49" w:rsidP="00363C49">
      <w:pPr>
        <w:rPr>
          <w:sz w:val="20"/>
        </w:rPr>
      </w:pPr>
    </w:p>
    <w:p w14:paraId="503DBF93" w14:textId="77777777" w:rsidR="00363C49" w:rsidRPr="008F2616" w:rsidRDefault="00363C49" w:rsidP="00363C49">
      <w:pPr>
        <w:rPr>
          <w:sz w:val="20"/>
        </w:rPr>
      </w:pPr>
      <w:r w:rsidRPr="008F2616">
        <w:rPr>
          <w:sz w:val="20"/>
        </w:rPr>
        <w:t>Standards Management Officer</w:t>
      </w:r>
    </w:p>
    <w:p w14:paraId="6BEB4F1B" w14:textId="77777777" w:rsidR="00363C49" w:rsidRPr="008F2616" w:rsidRDefault="00363C49" w:rsidP="00363C49">
      <w:pPr>
        <w:rPr>
          <w:sz w:val="20"/>
        </w:rPr>
      </w:pPr>
      <w:r w:rsidRPr="008F2616">
        <w:rPr>
          <w:sz w:val="20"/>
        </w:rPr>
        <w:t>Delegate of the Board of Food Standards Australia New Zealand</w:t>
      </w:r>
    </w:p>
    <w:p w14:paraId="3D469D72" w14:textId="77777777" w:rsidR="00363C49" w:rsidRDefault="00363C49" w:rsidP="00363C49">
      <w:pPr>
        <w:rPr>
          <w:sz w:val="20"/>
        </w:rPr>
      </w:pPr>
    </w:p>
    <w:p w14:paraId="5912E1C6" w14:textId="77777777" w:rsidR="00363C49" w:rsidRDefault="00363C49" w:rsidP="00363C49">
      <w:pPr>
        <w:rPr>
          <w:sz w:val="20"/>
        </w:rPr>
      </w:pPr>
    </w:p>
    <w:p w14:paraId="446C4E15" w14:textId="77777777" w:rsidR="00363C49" w:rsidRDefault="00363C49" w:rsidP="00363C49">
      <w:pPr>
        <w:rPr>
          <w:sz w:val="20"/>
        </w:rPr>
      </w:pPr>
    </w:p>
    <w:p w14:paraId="09FC5DB7" w14:textId="77777777" w:rsidR="00363C49" w:rsidRDefault="00363C49" w:rsidP="00363C49">
      <w:pPr>
        <w:rPr>
          <w:sz w:val="20"/>
        </w:rPr>
      </w:pPr>
    </w:p>
    <w:p w14:paraId="31A3E00A" w14:textId="77777777" w:rsidR="00363C49" w:rsidRDefault="00363C49" w:rsidP="00363C49">
      <w:pPr>
        <w:rPr>
          <w:sz w:val="20"/>
        </w:rPr>
      </w:pPr>
    </w:p>
    <w:p w14:paraId="76D6C010" w14:textId="77777777" w:rsidR="00363C49" w:rsidRPr="00360C8F" w:rsidRDefault="00363C49" w:rsidP="00363C49">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27931D40" w14:textId="77777777" w:rsidR="00363C49" w:rsidRPr="00360C8F" w:rsidRDefault="00363C49" w:rsidP="00363C49">
      <w:pPr>
        <w:pBdr>
          <w:top w:val="single" w:sz="4" w:space="1" w:color="auto"/>
          <w:left w:val="single" w:sz="4" w:space="4" w:color="auto"/>
          <w:bottom w:val="single" w:sz="4" w:space="1" w:color="auto"/>
          <w:right w:val="single" w:sz="4" w:space="4" w:color="auto"/>
        </w:pBdr>
        <w:rPr>
          <w:sz w:val="20"/>
          <w:lang w:val="en-AU"/>
        </w:rPr>
      </w:pPr>
    </w:p>
    <w:p w14:paraId="51D5E841" w14:textId="77777777" w:rsidR="00363C49" w:rsidRPr="00360C8F" w:rsidRDefault="00363C49" w:rsidP="00363C49">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w:t>
      </w:r>
      <w:proofErr w:type="gramStart"/>
      <w:r w:rsidRPr="00360C8F">
        <w:rPr>
          <w:sz w:val="20"/>
          <w:lang w:val="en-AU"/>
        </w:rPr>
        <w:t xml:space="preserve">FSC </w:t>
      </w:r>
      <w:r w:rsidRPr="00360C8F">
        <w:rPr>
          <w:color w:val="FF0000"/>
          <w:sz w:val="20"/>
          <w:lang w:val="en-AU"/>
        </w:rPr>
        <w:t>XX on XX Month 20XX</w:t>
      </w:r>
      <w:r w:rsidRPr="00360C8F">
        <w:rPr>
          <w:sz w:val="20"/>
          <w:lang w:val="en-AU"/>
        </w:rPr>
        <w:t>.</w:t>
      </w:r>
      <w:proofErr w:type="gramEnd"/>
      <w:r w:rsidRPr="00360C8F">
        <w:rPr>
          <w:sz w:val="20"/>
          <w:lang w:val="en-AU"/>
        </w:rPr>
        <w:t xml:space="preserve"> This means that this date is the gazettal date for the purposes of clause 3 of the variation. </w:t>
      </w:r>
    </w:p>
    <w:p w14:paraId="163BF4CF" w14:textId="77777777" w:rsidR="00363C49" w:rsidRDefault="00363C49" w:rsidP="00363C49">
      <w:pPr>
        <w:rPr>
          <w:sz w:val="20"/>
        </w:rPr>
      </w:pPr>
    </w:p>
    <w:p w14:paraId="152B71F5" w14:textId="77777777" w:rsidR="00363C49" w:rsidRDefault="00363C49" w:rsidP="00363C49">
      <w:pPr>
        <w:widowControl/>
        <w:rPr>
          <w:sz w:val="20"/>
        </w:rPr>
      </w:pPr>
      <w:r>
        <w:rPr>
          <w:sz w:val="20"/>
        </w:rPr>
        <w:br w:type="page"/>
      </w:r>
    </w:p>
    <w:p w14:paraId="3EBF85CB" w14:textId="77777777" w:rsidR="00363C49" w:rsidRPr="00D433B1" w:rsidRDefault="00363C49" w:rsidP="00DD3DA2">
      <w:pPr>
        <w:pStyle w:val="FSCDraftingitemheading"/>
      </w:pPr>
      <w:r w:rsidRPr="00D433B1">
        <w:lastRenderedPageBreak/>
        <w:t>1</w:t>
      </w:r>
      <w:r w:rsidRPr="00D433B1">
        <w:tab/>
        <w:t>Name</w:t>
      </w:r>
    </w:p>
    <w:p w14:paraId="547C82A7" w14:textId="77777777" w:rsidR="00363C49" w:rsidRPr="00F618DF" w:rsidRDefault="00363C49" w:rsidP="00DD3DA2">
      <w:pPr>
        <w:pStyle w:val="FSCDraftingitem"/>
      </w:pPr>
      <w:r w:rsidRPr="00DB170D">
        <w:t xml:space="preserve">This instrument is the </w:t>
      </w:r>
      <w:r w:rsidRPr="00DD3DA2">
        <w:rPr>
          <w:i/>
        </w:rPr>
        <w:t>Food Standards (Proposal P1039 – Microbiological Criteria for Infant Formula) Variation</w:t>
      </w:r>
      <w:r w:rsidRPr="00F618DF">
        <w:t>.</w:t>
      </w:r>
    </w:p>
    <w:p w14:paraId="47AD2C91" w14:textId="11933C6E" w:rsidR="00363C49" w:rsidRPr="00D433B1" w:rsidRDefault="00363C49" w:rsidP="00DD3DA2">
      <w:pPr>
        <w:pStyle w:val="FSCDraftingitemheading"/>
      </w:pPr>
      <w:r w:rsidRPr="00D433B1">
        <w:t>2</w:t>
      </w:r>
      <w:r w:rsidRPr="00D433B1">
        <w:tab/>
        <w:t xml:space="preserve">Variation to </w:t>
      </w:r>
      <w:r w:rsidR="00182E88">
        <w:t>s</w:t>
      </w:r>
      <w:r w:rsidRPr="00D433B1">
        <w:t>tandard</w:t>
      </w:r>
      <w:r w:rsidR="00182E88">
        <w:t>s</w:t>
      </w:r>
      <w:r w:rsidR="00170C07">
        <w:t xml:space="preserve"> </w:t>
      </w:r>
      <w:r w:rsidRPr="00D433B1">
        <w:t xml:space="preserve">in the </w:t>
      </w:r>
      <w:r w:rsidRPr="00DD3DA2">
        <w:rPr>
          <w:i/>
        </w:rPr>
        <w:t>Australia New Zealand Food Standards Code</w:t>
      </w:r>
    </w:p>
    <w:p w14:paraId="59937FBB" w14:textId="0E58EEAF" w:rsidR="00363C49" w:rsidRDefault="00363C49" w:rsidP="00DD3DA2">
      <w:pPr>
        <w:pStyle w:val="FSCDraftingitem"/>
      </w:pPr>
      <w:r>
        <w:t xml:space="preserve">The Schedule varies </w:t>
      </w:r>
      <w:r w:rsidR="00C301B3">
        <w:t>s</w:t>
      </w:r>
      <w:r>
        <w:t>tandard</w:t>
      </w:r>
      <w:r w:rsidR="00C301B3">
        <w:t>s</w:t>
      </w:r>
      <w:r>
        <w:t xml:space="preserve"> in the </w:t>
      </w:r>
      <w:r w:rsidRPr="00AC577E">
        <w:rPr>
          <w:i/>
        </w:rPr>
        <w:t>Australia New Zealand Food Standards Code</w:t>
      </w:r>
      <w:r>
        <w:t>.</w:t>
      </w:r>
    </w:p>
    <w:p w14:paraId="0A980699" w14:textId="77777777" w:rsidR="00363C49" w:rsidRPr="00D433B1" w:rsidRDefault="00363C49" w:rsidP="00DD3DA2">
      <w:pPr>
        <w:pStyle w:val="FSCDraftingitemheading"/>
      </w:pPr>
      <w:r w:rsidRPr="00D433B1">
        <w:t>3</w:t>
      </w:r>
      <w:r w:rsidRPr="00D433B1">
        <w:tab/>
        <w:t>Commencement</w:t>
      </w:r>
    </w:p>
    <w:p w14:paraId="0541D103" w14:textId="54DE8522" w:rsidR="00363C49" w:rsidRDefault="00363C49" w:rsidP="00DD3DA2">
      <w:pPr>
        <w:pStyle w:val="FSCDraftingitem"/>
      </w:pPr>
      <w:r>
        <w:t>The variation commenc</w:t>
      </w:r>
      <w:r w:rsidRPr="000055C4">
        <w:t>e</w:t>
      </w:r>
      <w:r>
        <w:t>s</w:t>
      </w:r>
      <w:r w:rsidRPr="000055C4">
        <w:t xml:space="preserve"> on</w:t>
      </w:r>
      <w:r>
        <w:t xml:space="preserve"> the date of gazettal.</w:t>
      </w:r>
    </w:p>
    <w:p w14:paraId="48FC00C2" w14:textId="77A645F6" w:rsidR="00363C49" w:rsidRDefault="00363C49" w:rsidP="00DD3DA2">
      <w:pPr>
        <w:pStyle w:val="FSCDraftingitemheading"/>
      </w:pPr>
      <w:r>
        <w:t>4</w:t>
      </w:r>
      <w:r w:rsidRPr="00D433B1">
        <w:tab/>
      </w:r>
      <w:r>
        <w:t>Effect of the variation to the Code</w:t>
      </w:r>
    </w:p>
    <w:p w14:paraId="06B5F3D0" w14:textId="40D6DBB0" w:rsidR="00363C49" w:rsidRDefault="00363C49" w:rsidP="00DD3DA2">
      <w:pPr>
        <w:pStyle w:val="FSCDraftingitem"/>
      </w:pPr>
      <w:r>
        <w:t>Section 1.1.1—9 of the Code</w:t>
      </w:r>
      <w:r>
        <w:rPr>
          <w:i/>
        </w:rPr>
        <w:t xml:space="preserve"> </w:t>
      </w:r>
      <w:r>
        <w:t>does not apply to the variation made by this instrument.</w:t>
      </w:r>
    </w:p>
    <w:p w14:paraId="74EC7575" w14:textId="77777777" w:rsidR="00363C49" w:rsidRPr="00D433B1" w:rsidRDefault="00363C49" w:rsidP="00363C49">
      <w:pPr>
        <w:jc w:val="center"/>
        <w:rPr>
          <w:b/>
          <w:sz w:val="20"/>
        </w:rPr>
      </w:pPr>
      <w:r w:rsidRPr="00D433B1">
        <w:rPr>
          <w:b/>
          <w:sz w:val="20"/>
        </w:rPr>
        <w:t>Schedule</w:t>
      </w:r>
    </w:p>
    <w:p w14:paraId="37E7E182" w14:textId="77777777" w:rsidR="00C672AF" w:rsidRDefault="00C672AF" w:rsidP="00DD3DA2">
      <w:pPr>
        <w:pStyle w:val="FSCDraftingitem"/>
      </w:pPr>
      <w:r>
        <w:rPr>
          <w:b/>
        </w:rPr>
        <w:t>[1]</w:t>
      </w:r>
      <w:r>
        <w:rPr>
          <w:b/>
        </w:rPr>
        <w:tab/>
        <w:t xml:space="preserve">Standard 1.1.2 </w:t>
      </w:r>
      <w:r>
        <w:t xml:space="preserve">is varied by omitting the definition of </w:t>
      </w:r>
      <w:r>
        <w:rPr>
          <w:b/>
          <w:i/>
        </w:rPr>
        <w:t xml:space="preserve">SPC </w:t>
      </w:r>
      <w:r>
        <w:t>from subsection 1.1.2—2(3), substituting</w:t>
      </w:r>
    </w:p>
    <w:p w14:paraId="55C31151" w14:textId="1C7A3CEC" w:rsidR="00C672AF" w:rsidRDefault="00C672AF" w:rsidP="00C672AF">
      <w:pPr>
        <w:pStyle w:val="FSCtDefn"/>
      </w:pPr>
      <w:r w:rsidRPr="00BD6A2F">
        <w:rPr>
          <w:b/>
          <w:i/>
        </w:rPr>
        <w:t>SPC</w:t>
      </w:r>
      <w:r>
        <w:t xml:space="preserve"> </w:t>
      </w:r>
      <w:r w:rsidRPr="00BD6A2F">
        <w:t>means a standard plate count at 30</w:t>
      </w:r>
      <w:r w:rsidR="00C301B3">
        <w:t>°</w:t>
      </w:r>
      <w:r w:rsidRPr="00BD6A2F">
        <w:t>C with an incubation time of 72 hours</w:t>
      </w:r>
      <w:r>
        <w:t>.</w:t>
      </w:r>
    </w:p>
    <w:p w14:paraId="377C2924" w14:textId="77777777" w:rsidR="00C672AF" w:rsidRDefault="00C672AF" w:rsidP="00DD3DA2">
      <w:pPr>
        <w:pStyle w:val="FSCDraftingitem"/>
      </w:pPr>
      <w:r w:rsidRPr="00DD3DA2">
        <w:rPr>
          <w:b/>
        </w:rPr>
        <w:t>[2]</w:t>
      </w:r>
      <w:r w:rsidRPr="00DD3DA2">
        <w:rPr>
          <w:b/>
        </w:rPr>
        <w:tab/>
        <w:t>Schedule 27</w:t>
      </w:r>
      <w:r>
        <w:t xml:space="preserve"> is varied by </w:t>
      </w:r>
    </w:p>
    <w:p w14:paraId="31432651" w14:textId="77777777" w:rsidR="00C672AF" w:rsidRDefault="00C672AF" w:rsidP="00DD3DA2">
      <w:pPr>
        <w:pStyle w:val="FSCDraftingitem"/>
      </w:pPr>
      <w:r>
        <w:t>[2.1]</w:t>
      </w:r>
      <w:r>
        <w:tab/>
        <w:t xml:space="preserve">omitting the note to section </w:t>
      </w:r>
      <w:r w:rsidRPr="001375C9">
        <w:t>S27—2</w:t>
      </w:r>
      <w:r>
        <w:t xml:space="preserve">, substituting </w:t>
      </w:r>
    </w:p>
    <w:p w14:paraId="7821BBE7" w14:textId="2DF63174" w:rsidR="00C672AF" w:rsidRPr="001D1563" w:rsidRDefault="00C672AF" w:rsidP="00C672AF">
      <w:pPr>
        <w:pStyle w:val="FSCnatHeading"/>
      </w:pPr>
      <w:r w:rsidRPr="00702ED2">
        <w:rPr>
          <w:b/>
          <w:i/>
        </w:rPr>
        <w:t>Note</w:t>
      </w:r>
      <w:r w:rsidRPr="001D1563">
        <w:tab/>
        <w:t>In this Code (see section 1.1.2—2):</w:t>
      </w:r>
    </w:p>
    <w:p w14:paraId="41327BE3" w14:textId="3A7F7E41" w:rsidR="00C672AF" w:rsidRPr="0062368A" w:rsidRDefault="00C672AF" w:rsidP="00C672AF">
      <w:pPr>
        <w:pStyle w:val="FSCnMain"/>
        <w:rPr>
          <w:b/>
          <w:i/>
        </w:rPr>
      </w:pPr>
      <w:r w:rsidRPr="001D1563">
        <w:tab/>
      </w:r>
      <w:r w:rsidRPr="001D1563">
        <w:rPr>
          <w:b/>
          <w:i/>
        </w:rPr>
        <w:t>SPC</w:t>
      </w:r>
      <w:r>
        <w:t xml:space="preserve"> </w:t>
      </w:r>
      <w:r w:rsidRPr="001D1563">
        <w:t>means a standard plate count at 30</w:t>
      </w:r>
      <w:r w:rsidRPr="001D1563">
        <w:sym w:font="Symbol" w:char="F0B0"/>
      </w:r>
      <w:r w:rsidRPr="001D1563">
        <w:t xml:space="preserve">C with an </w:t>
      </w:r>
      <w:r>
        <w:t>incubation time of 72 hours.</w:t>
      </w:r>
    </w:p>
    <w:p w14:paraId="2A95FA3C" w14:textId="08DAF298" w:rsidR="00C672AF" w:rsidRDefault="00C672AF" w:rsidP="00DD3DA2">
      <w:pPr>
        <w:pStyle w:val="FSCDraftingitem"/>
        <w:rPr>
          <w:b/>
          <w:lang w:bidi="en-US"/>
        </w:rPr>
      </w:pPr>
      <w:r>
        <w:t>[2.2]</w:t>
      </w:r>
      <w:r>
        <w:tab/>
        <w:t xml:space="preserve">omitting section </w:t>
      </w:r>
      <w:r w:rsidRPr="001375C9">
        <w:t>S27—3</w:t>
      </w:r>
    </w:p>
    <w:p w14:paraId="1879361C" w14:textId="75A4D4BE" w:rsidR="00363C49" w:rsidRDefault="00C672AF" w:rsidP="00DD3DA2">
      <w:pPr>
        <w:pStyle w:val="FSCDraftingitem"/>
      </w:pPr>
      <w:r>
        <w:t>[2.3]</w:t>
      </w:r>
      <w:r>
        <w:tab/>
        <w:t>omitting the following from the table to section S27</w:t>
      </w:r>
      <w:r w:rsidRPr="001D1563">
        <w:t>—</w:t>
      </w:r>
      <w:r>
        <w:t>4</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63C49" w:rsidRPr="00707C58" w14:paraId="73B741CA" w14:textId="77777777" w:rsidTr="00587247">
        <w:trPr>
          <w:cantSplit/>
          <w:jc w:val="center"/>
        </w:trPr>
        <w:tc>
          <w:tcPr>
            <w:tcW w:w="9072" w:type="dxa"/>
            <w:gridSpan w:val="5"/>
          </w:tcPr>
          <w:p w14:paraId="7D1D9A59" w14:textId="77777777" w:rsidR="00363C49" w:rsidRPr="00707C58" w:rsidRDefault="00363C49" w:rsidP="00587247">
            <w:pPr>
              <w:pStyle w:val="FSCtblh3"/>
            </w:pPr>
            <w:r w:rsidRPr="00707C58">
              <w:rPr>
                <w:i w:val="0"/>
              </w:rPr>
              <w:t>Powdered infant formula products</w:t>
            </w:r>
          </w:p>
        </w:tc>
      </w:tr>
      <w:tr w:rsidR="00363C49" w:rsidRPr="00DF2322" w14:paraId="4890FA00" w14:textId="77777777" w:rsidTr="00587247">
        <w:trPr>
          <w:cantSplit/>
          <w:jc w:val="center"/>
        </w:trPr>
        <w:tc>
          <w:tcPr>
            <w:tcW w:w="1954" w:type="dxa"/>
          </w:tcPr>
          <w:p w14:paraId="5863CD28" w14:textId="77777777" w:rsidR="00363C49" w:rsidRPr="00DF2322" w:rsidRDefault="00363C49" w:rsidP="00587247">
            <w:pPr>
              <w:pStyle w:val="FSCtblMain"/>
            </w:pPr>
            <w:r w:rsidRPr="00DF2322">
              <w:rPr>
                <w:i/>
              </w:rPr>
              <w:t>Bacillus cereus</w:t>
            </w:r>
          </w:p>
        </w:tc>
        <w:tc>
          <w:tcPr>
            <w:tcW w:w="1733" w:type="dxa"/>
          </w:tcPr>
          <w:p w14:paraId="07C24B3B" w14:textId="77777777" w:rsidR="00363C49" w:rsidRPr="00DF2322" w:rsidRDefault="00363C49" w:rsidP="00587247">
            <w:pPr>
              <w:pStyle w:val="FSCtblMain"/>
            </w:pPr>
            <w:r w:rsidRPr="00DF2322">
              <w:t>5</w:t>
            </w:r>
          </w:p>
        </w:tc>
        <w:tc>
          <w:tcPr>
            <w:tcW w:w="1594" w:type="dxa"/>
          </w:tcPr>
          <w:p w14:paraId="43CCC5CA" w14:textId="77777777" w:rsidR="00363C49" w:rsidRPr="00DF2322" w:rsidRDefault="00363C49" w:rsidP="00587247">
            <w:pPr>
              <w:pStyle w:val="FSCtblMain"/>
            </w:pPr>
            <w:r w:rsidRPr="00DF2322">
              <w:t>0</w:t>
            </w:r>
          </w:p>
        </w:tc>
        <w:tc>
          <w:tcPr>
            <w:tcW w:w="2091" w:type="dxa"/>
          </w:tcPr>
          <w:p w14:paraId="21CCA86E" w14:textId="77777777" w:rsidR="00363C49" w:rsidRPr="00DF2322" w:rsidRDefault="00363C49" w:rsidP="00587247">
            <w:pPr>
              <w:pStyle w:val="FSCtblMain"/>
            </w:pPr>
            <w:r w:rsidRPr="002241CD">
              <w:rPr>
                <w:szCs w:val="22"/>
              </w:rPr>
              <w:t>10</w:t>
            </w:r>
            <w:r w:rsidRPr="002241CD">
              <w:rPr>
                <w:szCs w:val="22"/>
                <w:vertAlign w:val="superscript"/>
              </w:rPr>
              <w:t>2</w:t>
            </w:r>
            <w:r w:rsidRPr="002241CD">
              <w:rPr>
                <w:szCs w:val="22"/>
              </w:rPr>
              <w:t>/g</w:t>
            </w:r>
          </w:p>
        </w:tc>
        <w:tc>
          <w:tcPr>
            <w:tcW w:w="1700" w:type="dxa"/>
          </w:tcPr>
          <w:p w14:paraId="436659D4" w14:textId="77777777" w:rsidR="00363C49" w:rsidRPr="00DF2322" w:rsidRDefault="00363C49" w:rsidP="00587247">
            <w:pPr>
              <w:pStyle w:val="FSCtblMain"/>
            </w:pPr>
          </w:p>
        </w:tc>
      </w:tr>
      <w:tr w:rsidR="00363C49" w:rsidRPr="00DF2322" w14:paraId="2CD5A581" w14:textId="77777777" w:rsidTr="00587247">
        <w:trPr>
          <w:cantSplit/>
          <w:jc w:val="center"/>
        </w:trPr>
        <w:tc>
          <w:tcPr>
            <w:tcW w:w="1954" w:type="dxa"/>
          </w:tcPr>
          <w:p w14:paraId="7CD39F9F" w14:textId="77777777" w:rsidR="00363C49" w:rsidRPr="00DF2322" w:rsidRDefault="00363C49" w:rsidP="00587247">
            <w:pPr>
              <w:pStyle w:val="FSCtblMain"/>
            </w:pPr>
            <w:r w:rsidRPr="00DF2322">
              <w:t>Coagulase-positive staphylococci</w:t>
            </w:r>
          </w:p>
        </w:tc>
        <w:tc>
          <w:tcPr>
            <w:tcW w:w="1733" w:type="dxa"/>
          </w:tcPr>
          <w:p w14:paraId="5D9F9DDB" w14:textId="77777777" w:rsidR="00363C49" w:rsidRPr="00DF2322" w:rsidRDefault="00363C49" w:rsidP="00587247">
            <w:pPr>
              <w:pStyle w:val="FSCtblMain"/>
            </w:pPr>
            <w:r w:rsidRPr="00DF2322">
              <w:t>5</w:t>
            </w:r>
          </w:p>
        </w:tc>
        <w:tc>
          <w:tcPr>
            <w:tcW w:w="1594" w:type="dxa"/>
          </w:tcPr>
          <w:p w14:paraId="4F77C794" w14:textId="77777777" w:rsidR="00363C49" w:rsidRPr="00DF2322" w:rsidRDefault="00363C49" w:rsidP="00587247">
            <w:pPr>
              <w:pStyle w:val="FSCtblMain"/>
            </w:pPr>
            <w:r w:rsidRPr="00DF2322">
              <w:t>1</w:t>
            </w:r>
          </w:p>
        </w:tc>
        <w:tc>
          <w:tcPr>
            <w:tcW w:w="2091" w:type="dxa"/>
          </w:tcPr>
          <w:p w14:paraId="41305D9F" w14:textId="77777777" w:rsidR="00363C49" w:rsidRPr="00DF2322" w:rsidRDefault="00363C49" w:rsidP="00587247">
            <w:pPr>
              <w:pStyle w:val="FSCtblMain"/>
            </w:pPr>
            <w:r w:rsidRPr="002241CD">
              <w:rPr>
                <w:szCs w:val="22"/>
              </w:rPr>
              <w:t>not detected in 1 g</w:t>
            </w:r>
          </w:p>
        </w:tc>
        <w:tc>
          <w:tcPr>
            <w:tcW w:w="1700" w:type="dxa"/>
          </w:tcPr>
          <w:p w14:paraId="778462F7" w14:textId="77777777" w:rsidR="00363C49" w:rsidRPr="00DF2322" w:rsidRDefault="00363C49" w:rsidP="00587247">
            <w:pPr>
              <w:pStyle w:val="FSCtblMain"/>
            </w:pPr>
            <w:r w:rsidRPr="00DF2322">
              <w:t>10/g</w:t>
            </w:r>
          </w:p>
        </w:tc>
      </w:tr>
      <w:tr w:rsidR="00363C49" w:rsidRPr="00DF2322" w14:paraId="2D5C7430" w14:textId="77777777" w:rsidTr="00587247">
        <w:trPr>
          <w:cantSplit/>
          <w:jc w:val="center"/>
        </w:trPr>
        <w:tc>
          <w:tcPr>
            <w:tcW w:w="1954" w:type="dxa"/>
          </w:tcPr>
          <w:p w14:paraId="1B3AFE70" w14:textId="77777777" w:rsidR="00363C49" w:rsidRPr="00DF2322" w:rsidRDefault="00363C49" w:rsidP="00587247">
            <w:pPr>
              <w:pStyle w:val="FSCtblMain"/>
            </w:pPr>
            <w:r w:rsidRPr="00DF2322">
              <w:t>Coliforms</w:t>
            </w:r>
          </w:p>
        </w:tc>
        <w:tc>
          <w:tcPr>
            <w:tcW w:w="1733" w:type="dxa"/>
          </w:tcPr>
          <w:p w14:paraId="413FC77C" w14:textId="77777777" w:rsidR="00363C49" w:rsidRPr="00DF2322" w:rsidRDefault="00363C49" w:rsidP="00587247">
            <w:pPr>
              <w:pStyle w:val="FSCtblMain"/>
            </w:pPr>
            <w:r w:rsidRPr="00DF2322">
              <w:t>5</w:t>
            </w:r>
          </w:p>
        </w:tc>
        <w:tc>
          <w:tcPr>
            <w:tcW w:w="1594" w:type="dxa"/>
          </w:tcPr>
          <w:p w14:paraId="46D4ADBF" w14:textId="77777777" w:rsidR="00363C49" w:rsidRPr="00DF2322" w:rsidRDefault="00363C49" w:rsidP="00587247">
            <w:pPr>
              <w:pStyle w:val="FSCtblMain"/>
            </w:pPr>
            <w:r w:rsidRPr="00DF2322">
              <w:t>2</w:t>
            </w:r>
          </w:p>
        </w:tc>
        <w:tc>
          <w:tcPr>
            <w:tcW w:w="2091" w:type="dxa"/>
          </w:tcPr>
          <w:p w14:paraId="681A6016" w14:textId="77777777" w:rsidR="00363C49" w:rsidRPr="00DF2322" w:rsidRDefault="00363C49" w:rsidP="00587247">
            <w:pPr>
              <w:pStyle w:val="FSCtblMain"/>
            </w:pPr>
            <w:r w:rsidRPr="00DF2322">
              <w:t>less than 3/g</w:t>
            </w:r>
          </w:p>
        </w:tc>
        <w:tc>
          <w:tcPr>
            <w:tcW w:w="1700" w:type="dxa"/>
          </w:tcPr>
          <w:p w14:paraId="56E514D1" w14:textId="77777777" w:rsidR="00363C49" w:rsidRPr="00DF2322" w:rsidRDefault="00363C49" w:rsidP="00587247">
            <w:pPr>
              <w:pStyle w:val="FSCtblMain"/>
            </w:pPr>
            <w:r w:rsidRPr="00DF2322">
              <w:t>10/g</w:t>
            </w:r>
          </w:p>
        </w:tc>
      </w:tr>
      <w:tr w:rsidR="00363C49" w:rsidRPr="00DF2322" w14:paraId="53458700" w14:textId="77777777" w:rsidTr="00587247">
        <w:trPr>
          <w:cantSplit/>
          <w:jc w:val="center"/>
        </w:trPr>
        <w:tc>
          <w:tcPr>
            <w:tcW w:w="1954" w:type="dxa"/>
          </w:tcPr>
          <w:p w14:paraId="4EE21C3F" w14:textId="77777777" w:rsidR="00363C49" w:rsidRPr="00DF2322" w:rsidRDefault="00363C49" w:rsidP="00587247">
            <w:pPr>
              <w:pStyle w:val="FSCtblMain"/>
            </w:pPr>
            <w:r w:rsidRPr="00DF2322">
              <w:rPr>
                <w:i/>
              </w:rPr>
              <w:t>Salmonella</w:t>
            </w:r>
          </w:p>
        </w:tc>
        <w:tc>
          <w:tcPr>
            <w:tcW w:w="1733" w:type="dxa"/>
          </w:tcPr>
          <w:p w14:paraId="53626950" w14:textId="77777777" w:rsidR="00363C49" w:rsidRPr="00DF2322" w:rsidRDefault="00363C49" w:rsidP="00587247">
            <w:pPr>
              <w:pStyle w:val="FSCtblMain"/>
            </w:pPr>
            <w:r w:rsidRPr="00DF2322">
              <w:t>10</w:t>
            </w:r>
          </w:p>
        </w:tc>
        <w:tc>
          <w:tcPr>
            <w:tcW w:w="1594" w:type="dxa"/>
          </w:tcPr>
          <w:p w14:paraId="016F0665" w14:textId="77777777" w:rsidR="00363C49" w:rsidRPr="00DF2322" w:rsidRDefault="00363C49" w:rsidP="00587247">
            <w:pPr>
              <w:pStyle w:val="FSCtblMain"/>
            </w:pPr>
            <w:r w:rsidRPr="00DF2322">
              <w:t>0</w:t>
            </w:r>
          </w:p>
        </w:tc>
        <w:tc>
          <w:tcPr>
            <w:tcW w:w="2091" w:type="dxa"/>
          </w:tcPr>
          <w:p w14:paraId="1B550C7D" w14:textId="77777777" w:rsidR="00363C49" w:rsidRPr="00DF2322" w:rsidRDefault="00363C49" w:rsidP="00587247">
            <w:pPr>
              <w:pStyle w:val="FSCtblMain"/>
            </w:pPr>
            <w:r w:rsidRPr="00DF2322">
              <w:t>not detected in 25</w:t>
            </w:r>
            <w:r>
              <w:t xml:space="preserve"> </w:t>
            </w:r>
            <w:r w:rsidRPr="00DF2322">
              <w:t>g</w:t>
            </w:r>
          </w:p>
        </w:tc>
        <w:tc>
          <w:tcPr>
            <w:tcW w:w="1700" w:type="dxa"/>
          </w:tcPr>
          <w:p w14:paraId="28CCC8F1" w14:textId="77777777" w:rsidR="00363C49" w:rsidRPr="00DF2322" w:rsidRDefault="00363C49" w:rsidP="00587247">
            <w:pPr>
              <w:pStyle w:val="FSCtblMain"/>
            </w:pPr>
          </w:p>
        </w:tc>
      </w:tr>
      <w:tr w:rsidR="00363C49" w:rsidRPr="00DF2322" w14:paraId="6282F26B" w14:textId="77777777" w:rsidTr="00587247">
        <w:trPr>
          <w:cantSplit/>
          <w:jc w:val="center"/>
        </w:trPr>
        <w:tc>
          <w:tcPr>
            <w:tcW w:w="1954" w:type="dxa"/>
          </w:tcPr>
          <w:p w14:paraId="2D58EB19" w14:textId="77777777" w:rsidR="00363C49" w:rsidRPr="00DF2322" w:rsidRDefault="00363C49" w:rsidP="00587247">
            <w:pPr>
              <w:pStyle w:val="FSCtblMain"/>
            </w:pPr>
            <w:r w:rsidRPr="00DF2322">
              <w:t>SPC</w:t>
            </w:r>
          </w:p>
        </w:tc>
        <w:tc>
          <w:tcPr>
            <w:tcW w:w="1733" w:type="dxa"/>
          </w:tcPr>
          <w:p w14:paraId="473FE304" w14:textId="77777777" w:rsidR="00363C49" w:rsidRPr="00DF2322" w:rsidRDefault="00363C49" w:rsidP="00587247">
            <w:pPr>
              <w:pStyle w:val="FSCtblMain"/>
            </w:pPr>
            <w:r w:rsidRPr="00DF2322">
              <w:t>5</w:t>
            </w:r>
          </w:p>
        </w:tc>
        <w:tc>
          <w:tcPr>
            <w:tcW w:w="1594" w:type="dxa"/>
          </w:tcPr>
          <w:p w14:paraId="78F4EE7C" w14:textId="77777777" w:rsidR="00363C49" w:rsidRPr="00DF2322" w:rsidRDefault="00363C49" w:rsidP="00587247">
            <w:pPr>
              <w:pStyle w:val="FSCtblMain"/>
            </w:pPr>
            <w:r w:rsidRPr="00DF2322">
              <w:t>2</w:t>
            </w:r>
          </w:p>
        </w:tc>
        <w:tc>
          <w:tcPr>
            <w:tcW w:w="2091" w:type="dxa"/>
          </w:tcPr>
          <w:p w14:paraId="676E09AC" w14:textId="77777777" w:rsidR="00363C49" w:rsidRPr="00DF2322" w:rsidRDefault="00363C49" w:rsidP="00587247">
            <w:pPr>
              <w:pStyle w:val="FSCtblMain"/>
            </w:pPr>
            <w:r w:rsidRPr="002241CD">
              <w:rPr>
                <w:szCs w:val="22"/>
              </w:rPr>
              <w:t>10</w:t>
            </w:r>
            <w:r w:rsidRPr="002241CD">
              <w:rPr>
                <w:rFonts w:cs="Times"/>
                <w:position w:val="6"/>
                <w:szCs w:val="22"/>
                <w:vertAlign w:val="superscript"/>
              </w:rPr>
              <w:t>3</w:t>
            </w:r>
            <w:r w:rsidRPr="002241CD">
              <w:rPr>
                <w:szCs w:val="22"/>
              </w:rPr>
              <w:t>/g</w:t>
            </w:r>
          </w:p>
        </w:tc>
        <w:tc>
          <w:tcPr>
            <w:tcW w:w="1700" w:type="dxa"/>
          </w:tcPr>
          <w:p w14:paraId="03760AA4" w14:textId="77777777" w:rsidR="00363C49" w:rsidRPr="00DF2322" w:rsidRDefault="00363C49" w:rsidP="00587247">
            <w:pPr>
              <w:pStyle w:val="FSCtblMain"/>
            </w:pPr>
            <w:r w:rsidRPr="00DF2322">
              <w:t>10</w:t>
            </w:r>
            <w:r w:rsidRPr="00DF2322">
              <w:rPr>
                <w:rFonts w:cs="Times"/>
                <w:position w:val="6"/>
                <w:vertAlign w:val="superscript"/>
              </w:rPr>
              <w:t>4</w:t>
            </w:r>
            <w:r w:rsidRPr="00DF2322">
              <w:t>/g</w:t>
            </w:r>
          </w:p>
        </w:tc>
      </w:tr>
    </w:tbl>
    <w:p w14:paraId="639BE238" w14:textId="433A8FD8" w:rsidR="00363C49" w:rsidRDefault="00363C49" w:rsidP="00363C49">
      <w:pPr>
        <w:pStyle w:val="FSCtMain"/>
        <w:ind w:left="0" w:firstLine="0"/>
      </w:pPr>
      <w:proofErr w:type="gramStart"/>
      <w:r>
        <w:t>substituting</w:t>
      </w:r>
      <w:proofErr w:type="gramEnd"/>
      <w:r>
        <w:t xml:space="preserve">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63C49" w:rsidRPr="00707C58" w14:paraId="0326AA46" w14:textId="77777777" w:rsidTr="00587247">
        <w:trPr>
          <w:cantSplit/>
          <w:jc w:val="center"/>
        </w:trPr>
        <w:tc>
          <w:tcPr>
            <w:tcW w:w="9072" w:type="dxa"/>
            <w:gridSpan w:val="5"/>
          </w:tcPr>
          <w:p w14:paraId="6E425E40" w14:textId="77777777" w:rsidR="00363C49" w:rsidRPr="00707C58" w:rsidRDefault="00363C49" w:rsidP="00587247">
            <w:pPr>
              <w:pStyle w:val="FSCtblh3"/>
            </w:pPr>
            <w:r>
              <w:rPr>
                <w:i w:val="0"/>
              </w:rPr>
              <w:t>Powdered infant formula products*</w:t>
            </w:r>
          </w:p>
        </w:tc>
      </w:tr>
      <w:tr w:rsidR="00363C49" w:rsidRPr="00DF2322" w14:paraId="76ABC20F" w14:textId="77777777" w:rsidTr="00587247">
        <w:trPr>
          <w:cantSplit/>
          <w:jc w:val="center"/>
        </w:trPr>
        <w:tc>
          <w:tcPr>
            <w:tcW w:w="1954" w:type="dxa"/>
          </w:tcPr>
          <w:p w14:paraId="7D5EFDFE" w14:textId="77777777" w:rsidR="00363C49" w:rsidRPr="00D43C07" w:rsidRDefault="00363C49" w:rsidP="00587247">
            <w:pPr>
              <w:pStyle w:val="FSCtblMain"/>
              <w:rPr>
                <w:i/>
              </w:rPr>
            </w:pPr>
            <w:proofErr w:type="spellStart"/>
            <w:r>
              <w:rPr>
                <w:i/>
              </w:rPr>
              <w:t>Cronobacter</w:t>
            </w:r>
            <w:proofErr w:type="spellEnd"/>
          </w:p>
        </w:tc>
        <w:tc>
          <w:tcPr>
            <w:tcW w:w="1733" w:type="dxa"/>
          </w:tcPr>
          <w:p w14:paraId="4042ECD1" w14:textId="77777777" w:rsidR="00363C49" w:rsidRPr="00DF2322" w:rsidRDefault="00363C49" w:rsidP="00587247">
            <w:pPr>
              <w:pStyle w:val="FSCtblMain"/>
            </w:pPr>
            <w:r>
              <w:t>30</w:t>
            </w:r>
          </w:p>
        </w:tc>
        <w:tc>
          <w:tcPr>
            <w:tcW w:w="1594" w:type="dxa"/>
          </w:tcPr>
          <w:p w14:paraId="6283DBC6" w14:textId="77777777" w:rsidR="00363C49" w:rsidRPr="00DF2322" w:rsidRDefault="00363C49" w:rsidP="00587247">
            <w:pPr>
              <w:pStyle w:val="FSCtblMain"/>
            </w:pPr>
            <w:r>
              <w:t>0</w:t>
            </w:r>
          </w:p>
        </w:tc>
        <w:tc>
          <w:tcPr>
            <w:tcW w:w="2091" w:type="dxa"/>
          </w:tcPr>
          <w:p w14:paraId="77933090" w14:textId="77777777" w:rsidR="00363C49" w:rsidRPr="00DF2322" w:rsidRDefault="00363C49" w:rsidP="00587247">
            <w:pPr>
              <w:pStyle w:val="FSCtblMain"/>
            </w:pPr>
            <w:r>
              <w:t>not detected in 10g</w:t>
            </w:r>
          </w:p>
        </w:tc>
        <w:tc>
          <w:tcPr>
            <w:tcW w:w="1700" w:type="dxa"/>
          </w:tcPr>
          <w:p w14:paraId="64BB0B42" w14:textId="77777777" w:rsidR="00363C49" w:rsidRPr="00DF2322" w:rsidRDefault="00363C49" w:rsidP="00587247">
            <w:pPr>
              <w:pStyle w:val="FSCtblMain"/>
            </w:pPr>
          </w:p>
        </w:tc>
      </w:tr>
      <w:tr w:rsidR="00363C49" w:rsidRPr="00DF2322" w14:paraId="1843D378" w14:textId="77777777" w:rsidTr="00587247">
        <w:trPr>
          <w:cantSplit/>
          <w:jc w:val="center"/>
        </w:trPr>
        <w:tc>
          <w:tcPr>
            <w:tcW w:w="1954" w:type="dxa"/>
          </w:tcPr>
          <w:p w14:paraId="3640A68C" w14:textId="77777777" w:rsidR="00363C49" w:rsidRPr="00DF2322" w:rsidRDefault="00363C49" w:rsidP="00587247">
            <w:pPr>
              <w:pStyle w:val="FSCtblMain"/>
            </w:pPr>
            <w:r w:rsidRPr="00DF2322">
              <w:rPr>
                <w:i/>
              </w:rPr>
              <w:t>Salmonella</w:t>
            </w:r>
          </w:p>
        </w:tc>
        <w:tc>
          <w:tcPr>
            <w:tcW w:w="1733" w:type="dxa"/>
          </w:tcPr>
          <w:p w14:paraId="69420E51" w14:textId="77777777" w:rsidR="00363C49" w:rsidRPr="00DF2322" w:rsidRDefault="00363C49" w:rsidP="00587247">
            <w:pPr>
              <w:pStyle w:val="FSCtblMain"/>
            </w:pPr>
            <w:r>
              <w:t>60</w:t>
            </w:r>
          </w:p>
        </w:tc>
        <w:tc>
          <w:tcPr>
            <w:tcW w:w="1594" w:type="dxa"/>
          </w:tcPr>
          <w:p w14:paraId="262C21E1" w14:textId="77777777" w:rsidR="00363C49" w:rsidRPr="00DF2322" w:rsidRDefault="00363C49" w:rsidP="00587247">
            <w:pPr>
              <w:pStyle w:val="FSCtblMain"/>
            </w:pPr>
            <w:r w:rsidRPr="00DF2322">
              <w:t>0</w:t>
            </w:r>
          </w:p>
        </w:tc>
        <w:tc>
          <w:tcPr>
            <w:tcW w:w="2091" w:type="dxa"/>
          </w:tcPr>
          <w:p w14:paraId="061C7029" w14:textId="77777777" w:rsidR="00363C49" w:rsidRPr="00DF2322" w:rsidRDefault="00363C49" w:rsidP="00587247">
            <w:pPr>
              <w:pStyle w:val="FSCtblMain"/>
            </w:pPr>
            <w:r w:rsidRPr="00DF2322">
              <w:t>not detected in 25</w:t>
            </w:r>
            <w:r>
              <w:t xml:space="preserve"> </w:t>
            </w:r>
            <w:r w:rsidRPr="00DF2322">
              <w:t>g</w:t>
            </w:r>
          </w:p>
        </w:tc>
        <w:tc>
          <w:tcPr>
            <w:tcW w:w="1700" w:type="dxa"/>
          </w:tcPr>
          <w:p w14:paraId="0C0789F2" w14:textId="77777777" w:rsidR="00363C49" w:rsidRPr="00DF2322" w:rsidRDefault="00363C49" w:rsidP="00587247">
            <w:pPr>
              <w:pStyle w:val="FSCtblMain"/>
            </w:pPr>
          </w:p>
        </w:tc>
      </w:tr>
    </w:tbl>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63C49" w:rsidRPr="00707C58" w14:paraId="146CB1B7" w14:textId="77777777" w:rsidTr="00587247">
        <w:trPr>
          <w:cantSplit/>
          <w:jc w:val="center"/>
        </w:trPr>
        <w:tc>
          <w:tcPr>
            <w:tcW w:w="9072" w:type="dxa"/>
            <w:gridSpan w:val="5"/>
          </w:tcPr>
          <w:p w14:paraId="7D14722A" w14:textId="77777777" w:rsidR="00363C49" w:rsidRPr="00707C58" w:rsidRDefault="00363C49" w:rsidP="00587247">
            <w:pPr>
              <w:pStyle w:val="FSCtblh3"/>
            </w:pPr>
            <w:r>
              <w:rPr>
                <w:i w:val="0"/>
              </w:rPr>
              <w:t>Powdered follow-on formula*</w:t>
            </w:r>
          </w:p>
        </w:tc>
      </w:tr>
      <w:tr w:rsidR="00363C49" w:rsidRPr="00DF2322" w14:paraId="0A875BF5" w14:textId="77777777" w:rsidTr="00587247">
        <w:trPr>
          <w:cantSplit/>
          <w:jc w:val="center"/>
        </w:trPr>
        <w:tc>
          <w:tcPr>
            <w:tcW w:w="1954" w:type="dxa"/>
          </w:tcPr>
          <w:p w14:paraId="28EA8815" w14:textId="77777777" w:rsidR="00363C49" w:rsidRPr="00DF2322" w:rsidRDefault="00363C49" w:rsidP="00587247">
            <w:pPr>
              <w:pStyle w:val="FSCtblMain"/>
            </w:pPr>
            <w:r w:rsidRPr="00DF2322">
              <w:rPr>
                <w:i/>
              </w:rPr>
              <w:t>Salmonella</w:t>
            </w:r>
          </w:p>
        </w:tc>
        <w:tc>
          <w:tcPr>
            <w:tcW w:w="1733" w:type="dxa"/>
          </w:tcPr>
          <w:p w14:paraId="487355DC" w14:textId="77777777" w:rsidR="00363C49" w:rsidRPr="00DF2322" w:rsidRDefault="00363C49" w:rsidP="00587247">
            <w:pPr>
              <w:pStyle w:val="FSCtblMain"/>
            </w:pPr>
            <w:r>
              <w:t>60</w:t>
            </w:r>
          </w:p>
        </w:tc>
        <w:tc>
          <w:tcPr>
            <w:tcW w:w="1594" w:type="dxa"/>
          </w:tcPr>
          <w:p w14:paraId="0BB1B6A9" w14:textId="77777777" w:rsidR="00363C49" w:rsidRPr="00DF2322" w:rsidRDefault="00363C49" w:rsidP="00587247">
            <w:pPr>
              <w:pStyle w:val="FSCtblMain"/>
            </w:pPr>
            <w:r w:rsidRPr="00DF2322">
              <w:t>0</w:t>
            </w:r>
          </w:p>
        </w:tc>
        <w:tc>
          <w:tcPr>
            <w:tcW w:w="2091" w:type="dxa"/>
          </w:tcPr>
          <w:p w14:paraId="3BB92DCA" w14:textId="77777777" w:rsidR="00363C49" w:rsidRPr="00DF2322" w:rsidRDefault="00363C49" w:rsidP="00587247">
            <w:pPr>
              <w:pStyle w:val="FSCtblMain"/>
            </w:pPr>
            <w:r w:rsidRPr="00DF2322">
              <w:t>not detected in 25</w:t>
            </w:r>
            <w:r>
              <w:t xml:space="preserve"> </w:t>
            </w:r>
            <w:r w:rsidRPr="00DF2322">
              <w:t>g</w:t>
            </w:r>
          </w:p>
        </w:tc>
        <w:tc>
          <w:tcPr>
            <w:tcW w:w="1700" w:type="dxa"/>
          </w:tcPr>
          <w:p w14:paraId="4A1E614B" w14:textId="77777777" w:rsidR="00363C49" w:rsidRPr="00DF2322" w:rsidRDefault="00363C49" w:rsidP="00587247">
            <w:pPr>
              <w:pStyle w:val="FSCtblMain"/>
            </w:pPr>
          </w:p>
        </w:tc>
      </w:tr>
    </w:tbl>
    <w:p w14:paraId="0DE62298" w14:textId="77777777" w:rsidR="00363C49" w:rsidRPr="00363C49" w:rsidRDefault="00363C49" w:rsidP="00363C49">
      <w:pPr>
        <w:rPr>
          <w:lang w:bidi="ar-SA"/>
        </w:rPr>
      </w:pPr>
    </w:p>
    <w:p w14:paraId="32509532" w14:textId="77777777" w:rsidR="00456BD5" w:rsidRPr="00795D86" w:rsidRDefault="00456BD5" w:rsidP="00456BD5">
      <w:pPr>
        <w:rPr>
          <w:lang w:bidi="ar-SA"/>
        </w:rPr>
      </w:pPr>
    </w:p>
    <w:p w14:paraId="32509533" w14:textId="77777777" w:rsidR="00456BD5" w:rsidRDefault="00456BD5" w:rsidP="00456BD5">
      <w:pPr>
        <w:pStyle w:val="Heading2"/>
        <w:ind w:left="0" w:firstLine="0"/>
      </w:pPr>
      <w:r w:rsidRPr="00932F14">
        <w:br w:type="page"/>
      </w:r>
      <w:bookmarkStart w:id="112" w:name="_Toc440636844"/>
      <w:r w:rsidR="005E06C0" w:rsidRPr="00932F14">
        <w:lastRenderedPageBreak/>
        <w:t xml:space="preserve">Attachment </w:t>
      </w:r>
      <w:r w:rsidR="005E06C0">
        <w:t xml:space="preserve">B – </w:t>
      </w:r>
      <w:r>
        <w:t>Explanatory Statement</w:t>
      </w:r>
      <w:bookmarkEnd w:id="112"/>
    </w:p>
    <w:p w14:paraId="32509534"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2509535" w14:textId="77777777" w:rsidR="00456BD5" w:rsidRDefault="00456BD5" w:rsidP="00456BD5">
      <w:pPr>
        <w:rPr>
          <w:lang w:val="en-AU" w:eastAsia="en-GB" w:bidi="ar-SA"/>
        </w:rPr>
      </w:pPr>
    </w:p>
    <w:p w14:paraId="32509536"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2509537" w14:textId="77777777" w:rsidR="00456BD5" w:rsidRPr="00D13E34" w:rsidRDefault="00456BD5" w:rsidP="00456BD5">
      <w:pPr>
        <w:widowControl/>
        <w:autoSpaceDE w:val="0"/>
        <w:autoSpaceDN w:val="0"/>
        <w:adjustRightInd w:val="0"/>
        <w:rPr>
          <w:rFonts w:eastAsia="Calibri" w:cs="Arial"/>
          <w:bCs/>
          <w:szCs w:val="22"/>
          <w:lang w:val="en-AU" w:bidi="ar-SA"/>
        </w:rPr>
      </w:pPr>
    </w:p>
    <w:p w14:paraId="3250953D" w14:textId="77777777" w:rsidR="00456BD5" w:rsidRPr="009F4096" w:rsidRDefault="00456BD5" w:rsidP="00456BD5">
      <w:pPr>
        <w:widowControl/>
        <w:autoSpaceDE w:val="0"/>
        <w:autoSpaceDN w:val="0"/>
        <w:adjustRightInd w:val="0"/>
        <w:rPr>
          <w:rFonts w:eastAsia="Calibri"/>
          <w:lang w:val="en-AU"/>
        </w:rPr>
      </w:pPr>
      <w:r w:rsidRPr="009F4096">
        <w:rPr>
          <w:rFonts w:eastAsia="Calibri"/>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250953E" w14:textId="77777777" w:rsidR="00456BD5" w:rsidRPr="009F4096" w:rsidRDefault="00456BD5" w:rsidP="00456BD5">
      <w:pPr>
        <w:widowControl/>
        <w:autoSpaceDE w:val="0"/>
        <w:autoSpaceDN w:val="0"/>
        <w:adjustRightInd w:val="0"/>
        <w:rPr>
          <w:rFonts w:eastAsia="Calibri"/>
          <w:lang w:val="en-AU"/>
        </w:rPr>
      </w:pPr>
    </w:p>
    <w:p w14:paraId="3250953F" w14:textId="6D99601D" w:rsidR="00456BD5" w:rsidRPr="00DD3DA2" w:rsidRDefault="00456BD5" w:rsidP="00456BD5">
      <w:pPr>
        <w:widowControl/>
        <w:autoSpaceDE w:val="0"/>
        <w:autoSpaceDN w:val="0"/>
        <w:adjustRightInd w:val="0"/>
      </w:pPr>
      <w:r w:rsidRPr="009F4096">
        <w:rPr>
          <w:rFonts w:eastAsia="Calibri"/>
          <w:lang w:val="en-AU"/>
        </w:rPr>
        <w:t>The Authority prepared Proposal P</w:t>
      </w:r>
      <w:r w:rsidR="00856763" w:rsidRPr="009F4096">
        <w:rPr>
          <w:rFonts w:eastAsia="Calibri"/>
          <w:lang w:val="en-AU"/>
        </w:rPr>
        <w:t>1039</w:t>
      </w:r>
      <w:r w:rsidRPr="009F4096">
        <w:rPr>
          <w:rFonts w:eastAsia="Calibri"/>
          <w:lang w:val="en-AU"/>
        </w:rPr>
        <w:t xml:space="preserve"> to </w:t>
      </w:r>
      <w:r w:rsidR="009F4096" w:rsidRPr="009F4096">
        <w:t>include food safety microbiological criteria for infant formula</w:t>
      </w:r>
      <w:r w:rsidR="00170C07">
        <w:t xml:space="preserve"> in </w:t>
      </w:r>
      <w:r w:rsidR="00172DEB">
        <w:t>Schedule 27- Microbiological limits in food</w:t>
      </w:r>
      <w:r w:rsidRPr="009F4096">
        <w:rPr>
          <w:rFonts w:eastAsia="Calibri" w:cs="Arial"/>
          <w:bCs/>
          <w:szCs w:val="22"/>
          <w:lang w:val="en-AU" w:bidi="ar-SA"/>
        </w:rPr>
        <w:t>.</w:t>
      </w:r>
      <w:r w:rsidRPr="009F4096">
        <w:rPr>
          <w:rFonts w:eastAsia="Calibri"/>
          <w:lang w:val="en-AU"/>
        </w:rPr>
        <w:t xml:space="preserve"> </w:t>
      </w:r>
      <w:r w:rsidR="00170C07">
        <w:rPr>
          <w:rFonts w:eastAsia="Calibri"/>
          <w:lang w:val="en-AU"/>
        </w:rPr>
        <w:t xml:space="preserve">These criteria align </w:t>
      </w:r>
      <w:r w:rsidR="00170C07" w:rsidRPr="009F4096">
        <w:t>with international (Codex) standards</w:t>
      </w:r>
      <w:r w:rsidR="00170C07">
        <w:t xml:space="preserve">. </w:t>
      </w:r>
      <w:r w:rsidRPr="009F4096">
        <w:rPr>
          <w:rFonts w:eastAsia="Calibri"/>
          <w:lang w:val="en-AU"/>
        </w:rPr>
        <w:t xml:space="preserve">The Authority considered the Proposal in accordance with Division 2 of Part 3 and has approved a draft </w:t>
      </w:r>
      <w:r w:rsidR="00B5603A">
        <w:rPr>
          <w:rFonts w:eastAsia="Calibri"/>
          <w:lang w:val="en-AU"/>
        </w:rPr>
        <w:t>variation</w:t>
      </w:r>
      <w:r w:rsidRPr="009F4096">
        <w:rPr>
          <w:rFonts w:eastAsia="Calibri"/>
          <w:lang w:val="en-AU"/>
        </w:rPr>
        <w:t xml:space="preserve">. </w:t>
      </w:r>
    </w:p>
    <w:p w14:paraId="32509540" w14:textId="77777777" w:rsidR="00456BD5" w:rsidRPr="00D13E34" w:rsidRDefault="00456BD5" w:rsidP="00456BD5">
      <w:pPr>
        <w:widowControl/>
        <w:autoSpaceDE w:val="0"/>
        <w:autoSpaceDN w:val="0"/>
        <w:adjustRightInd w:val="0"/>
        <w:rPr>
          <w:rFonts w:eastAsia="Calibri" w:cs="Arial"/>
          <w:bCs/>
          <w:szCs w:val="22"/>
          <w:lang w:val="en-AU" w:bidi="ar-SA"/>
        </w:rPr>
      </w:pPr>
    </w:p>
    <w:p w14:paraId="32509541" w14:textId="5BB625B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 xml:space="preserve">. </w:t>
      </w:r>
    </w:p>
    <w:p w14:paraId="32509542" w14:textId="77777777" w:rsidR="00456BD5" w:rsidRPr="00D13E34" w:rsidRDefault="00456BD5" w:rsidP="00456BD5">
      <w:pPr>
        <w:widowControl/>
        <w:autoSpaceDE w:val="0"/>
        <w:autoSpaceDN w:val="0"/>
        <w:adjustRightInd w:val="0"/>
        <w:rPr>
          <w:rFonts w:eastAsia="Calibri" w:cs="Arial"/>
          <w:bCs/>
          <w:szCs w:val="22"/>
          <w:lang w:val="en-AU" w:bidi="ar-SA"/>
        </w:rPr>
      </w:pPr>
    </w:p>
    <w:p w14:paraId="32509543" w14:textId="32F11556" w:rsidR="00456BD5" w:rsidRPr="009F4096" w:rsidRDefault="00456BD5" w:rsidP="00456BD5">
      <w:pPr>
        <w:widowControl/>
        <w:autoSpaceDE w:val="0"/>
        <w:autoSpaceDN w:val="0"/>
        <w:adjustRightInd w:val="0"/>
        <w:rPr>
          <w:rFonts w:eastAsia="Calibri"/>
          <w:lang w:val="en-AU"/>
        </w:rPr>
      </w:pPr>
      <w:r w:rsidRPr="009F4096">
        <w:rPr>
          <w:rFonts w:eastAsia="Calibri"/>
          <w:lang w:val="en-AU"/>
        </w:rPr>
        <w:t xml:space="preserve">Section 94 of the FSANZ Act specifies that a standard, or a variation of a standard, in relation to which a notice is published under section 92 is a legislative instrument, but is not subject to parliamentary disallowance or </w:t>
      </w:r>
      <w:proofErr w:type="spellStart"/>
      <w:r w:rsidRPr="009F4096">
        <w:rPr>
          <w:rFonts w:eastAsia="Calibri"/>
          <w:lang w:val="en-AU"/>
        </w:rPr>
        <w:t>sunsetting</w:t>
      </w:r>
      <w:proofErr w:type="spellEnd"/>
      <w:r w:rsidRPr="009F4096">
        <w:rPr>
          <w:rFonts w:eastAsia="Calibri"/>
          <w:lang w:val="en-AU"/>
        </w:rPr>
        <w:t xml:space="preserve"> under the </w:t>
      </w:r>
      <w:r w:rsidRPr="009F4096">
        <w:rPr>
          <w:rFonts w:eastAsia="Calibri"/>
          <w:i/>
          <w:lang w:val="en-AU"/>
        </w:rPr>
        <w:t>Legislati</w:t>
      </w:r>
      <w:r w:rsidR="00C301B3">
        <w:rPr>
          <w:rFonts w:eastAsia="Calibri"/>
          <w:i/>
          <w:lang w:val="en-AU"/>
        </w:rPr>
        <w:t xml:space="preserve">on </w:t>
      </w:r>
      <w:r w:rsidRPr="009F4096">
        <w:rPr>
          <w:rFonts w:eastAsia="Calibri"/>
          <w:i/>
          <w:lang w:val="en-AU"/>
        </w:rPr>
        <w:t>Act 2003</w:t>
      </w:r>
      <w:r w:rsidRPr="009F4096">
        <w:rPr>
          <w:rFonts w:eastAsia="Calibri"/>
          <w:lang w:val="en-AU"/>
        </w:rPr>
        <w:t>.</w:t>
      </w:r>
    </w:p>
    <w:p w14:paraId="32509544" w14:textId="77777777" w:rsidR="00456BD5" w:rsidRDefault="00456BD5" w:rsidP="00456BD5">
      <w:pPr>
        <w:rPr>
          <w:lang w:val="en-AU" w:eastAsia="en-GB" w:bidi="ar-SA"/>
        </w:rPr>
      </w:pPr>
    </w:p>
    <w:p w14:paraId="32509545"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32509546" w14:textId="77777777" w:rsidR="00456BD5" w:rsidRDefault="00456BD5" w:rsidP="00456BD5">
      <w:pPr>
        <w:rPr>
          <w:lang w:val="en-AU" w:eastAsia="en-GB" w:bidi="ar-SA"/>
        </w:rPr>
      </w:pPr>
    </w:p>
    <w:p w14:paraId="3E78B5B4" w14:textId="65CC602D" w:rsidR="009F4096" w:rsidRDefault="009F4096" w:rsidP="009F4096">
      <w:pPr>
        <w:rPr>
          <w:lang w:eastAsia="en-GB" w:bidi="ar-SA"/>
        </w:rPr>
      </w:pPr>
      <w:r>
        <w:rPr>
          <w:rFonts w:eastAsia="Calibri" w:cs="Arial"/>
          <w:bCs/>
          <w:szCs w:val="22"/>
          <w:lang w:val="en-AU" w:bidi="ar-SA"/>
        </w:rPr>
        <w:t xml:space="preserve">The Authority has approved </w:t>
      </w:r>
      <w:r w:rsidR="002825AC">
        <w:rPr>
          <w:rFonts w:eastAsia="Calibri" w:cs="Arial"/>
          <w:bCs/>
          <w:szCs w:val="22"/>
          <w:lang w:val="en-AU" w:bidi="ar-SA"/>
        </w:rPr>
        <w:t xml:space="preserve">the </w:t>
      </w:r>
      <w:r>
        <w:rPr>
          <w:rFonts w:eastAsia="Calibri" w:cs="Arial"/>
          <w:bCs/>
          <w:szCs w:val="22"/>
          <w:lang w:val="en-AU" w:bidi="ar-SA"/>
        </w:rPr>
        <w:t xml:space="preserve">variation to </w:t>
      </w:r>
      <w:r w:rsidRPr="00686E16">
        <w:rPr>
          <w:rFonts w:eastAsia="Calibri" w:cs="Arial"/>
          <w:bCs/>
          <w:szCs w:val="22"/>
          <w:lang w:val="en-AU" w:bidi="ar-SA"/>
        </w:rPr>
        <w:t>Standard</w:t>
      </w:r>
      <w:r w:rsidR="002825AC">
        <w:rPr>
          <w:rFonts w:eastAsia="Calibri" w:cs="Arial"/>
          <w:bCs/>
          <w:szCs w:val="22"/>
          <w:lang w:val="en-AU" w:bidi="ar-SA"/>
        </w:rPr>
        <w:t xml:space="preserve"> 1.1.2</w:t>
      </w:r>
      <w:r w:rsidRPr="00686E16">
        <w:rPr>
          <w:rFonts w:eastAsia="Calibri" w:cs="Arial"/>
          <w:bCs/>
          <w:szCs w:val="22"/>
          <w:lang w:val="en-AU" w:bidi="ar-SA"/>
        </w:rPr>
        <w:t xml:space="preserve"> and</w:t>
      </w:r>
      <w:r w:rsidR="00B5603A">
        <w:rPr>
          <w:rFonts w:eastAsia="Calibri" w:cs="Arial"/>
          <w:bCs/>
          <w:szCs w:val="22"/>
          <w:lang w:val="en-AU" w:bidi="ar-SA"/>
        </w:rPr>
        <w:t xml:space="preserve"> </w:t>
      </w:r>
      <w:r w:rsidRPr="00686E16">
        <w:rPr>
          <w:rFonts w:eastAsia="Calibri" w:cs="Arial"/>
          <w:bCs/>
          <w:szCs w:val="22"/>
          <w:lang w:val="en-AU" w:bidi="ar-SA"/>
        </w:rPr>
        <w:t xml:space="preserve">Schedule 27 to </w:t>
      </w:r>
      <w:r>
        <w:rPr>
          <w:rFonts w:eastAsia="Calibri" w:cs="Arial"/>
          <w:bCs/>
          <w:szCs w:val="22"/>
          <w:lang w:val="en-AU" w:bidi="ar-SA"/>
        </w:rPr>
        <w:t>align the</w:t>
      </w:r>
      <w:r w:rsidRPr="00686E16">
        <w:rPr>
          <w:rFonts w:eastAsia="Calibri" w:cs="Arial"/>
          <w:bCs/>
          <w:szCs w:val="22"/>
          <w:lang w:val="en-AU" w:bidi="ar-SA"/>
        </w:rPr>
        <w:t xml:space="preserve"> </w:t>
      </w:r>
      <w:r w:rsidR="00B5603A">
        <w:rPr>
          <w:rFonts w:eastAsia="Calibri" w:cs="Arial"/>
          <w:bCs/>
          <w:szCs w:val="22"/>
          <w:lang w:val="en-AU" w:bidi="ar-SA"/>
        </w:rPr>
        <w:t xml:space="preserve">Code’s </w:t>
      </w:r>
      <w:r w:rsidRPr="00686E16">
        <w:rPr>
          <w:rFonts w:eastAsia="Calibri" w:cs="Arial"/>
          <w:bCs/>
          <w:szCs w:val="22"/>
          <w:lang w:val="en-AU" w:bidi="ar-SA"/>
        </w:rPr>
        <w:t>food safety microbiological criteria for powdered infant formula products with international (Codex) standards</w:t>
      </w:r>
      <w:r>
        <w:rPr>
          <w:rFonts w:eastAsia="Calibri" w:cs="Arial"/>
          <w:bCs/>
          <w:szCs w:val="22"/>
          <w:lang w:val="en-AU" w:bidi="ar-SA"/>
        </w:rPr>
        <w:t>.</w:t>
      </w:r>
      <w:r w:rsidRPr="00686E16">
        <w:rPr>
          <w:lang w:eastAsia="en-GB" w:bidi="ar-SA"/>
        </w:rPr>
        <w:t xml:space="preserve"> </w:t>
      </w:r>
    </w:p>
    <w:p w14:paraId="32509548" w14:textId="77777777" w:rsidR="00456BD5" w:rsidRDefault="00456BD5" w:rsidP="00456BD5">
      <w:pPr>
        <w:rPr>
          <w:lang w:val="en-AU" w:eastAsia="en-GB" w:bidi="ar-SA"/>
        </w:rPr>
      </w:pPr>
    </w:p>
    <w:p w14:paraId="32509549"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250954A" w14:textId="77777777" w:rsidR="00456BD5" w:rsidRDefault="00456BD5" w:rsidP="00456BD5">
      <w:pPr>
        <w:rPr>
          <w:lang w:val="en-AU" w:eastAsia="en-GB" w:bidi="ar-SA"/>
        </w:rPr>
      </w:pPr>
    </w:p>
    <w:p w14:paraId="3250954B"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3250954C" w14:textId="77777777" w:rsidR="00456BD5" w:rsidRDefault="00456BD5" w:rsidP="00456BD5">
      <w:pPr>
        <w:rPr>
          <w:lang w:val="en-AU" w:eastAsia="en-GB" w:bidi="ar-SA"/>
        </w:rPr>
      </w:pPr>
    </w:p>
    <w:p w14:paraId="325095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3250954E" w14:textId="77777777" w:rsidR="00456BD5" w:rsidRDefault="00456BD5" w:rsidP="00456BD5">
      <w:pPr>
        <w:rPr>
          <w:lang w:val="en-AU" w:eastAsia="en-GB" w:bidi="ar-SA"/>
        </w:rPr>
      </w:pPr>
    </w:p>
    <w:p w14:paraId="473607E3" w14:textId="78BE6F21" w:rsidR="009F4096" w:rsidRPr="0041193E" w:rsidRDefault="009F4096" w:rsidP="009F4096">
      <w:pPr>
        <w:rPr>
          <w:lang w:val="en-AU"/>
        </w:rPr>
      </w:pPr>
      <w:r w:rsidRPr="0041193E">
        <w:rPr>
          <w:szCs w:val="22"/>
        </w:rPr>
        <w:t xml:space="preserve">In accordance with the procedure in Division 2 of Part 3 of the FSANZ Act, </w:t>
      </w:r>
      <w:r w:rsidRPr="0041193E">
        <w:rPr>
          <w:rFonts w:eastAsia="Calibri" w:cs="Arial"/>
          <w:bCs/>
          <w:szCs w:val="22"/>
          <w:lang w:val="en-AU" w:bidi="ar-SA"/>
        </w:rPr>
        <w:t>the Authority</w:t>
      </w:r>
      <w:r w:rsidRPr="0041193E">
        <w:rPr>
          <w:szCs w:val="22"/>
        </w:rPr>
        <w:t>’s consideration of Proposal P1039 include</w:t>
      </w:r>
      <w:r>
        <w:rPr>
          <w:szCs w:val="22"/>
        </w:rPr>
        <w:t>d</w:t>
      </w:r>
      <w:r w:rsidRPr="0041193E">
        <w:rPr>
          <w:szCs w:val="22"/>
        </w:rPr>
        <w:t xml:space="preserve"> one round of public consultation following an assessment and the preparation of a draft variation to the </w:t>
      </w:r>
      <w:r>
        <w:rPr>
          <w:szCs w:val="22"/>
        </w:rPr>
        <w:t>Code</w:t>
      </w:r>
      <w:r w:rsidRPr="0041193E">
        <w:rPr>
          <w:szCs w:val="22"/>
        </w:rPr>
        <w:t xml:space="preserve"> and </w:t>
      </w:r>
      <w:r>
        <w:rPr>
          <w:szCs w:val="22"/>
        </w:rPr>
        <w:t xml:space="preserve">an </w:t>
      </w:r>
      <w:r w:rsidRPr="0041193E">
        <w:rPr>
          <w:szCs w:val="22"/>
        </w:rPr>
        <w:t xml:space="preserve">associated report. </w:t>
      </w:r>
      <w:r w:rsidRPr="009F4096">
        <w:rPr>
          <w:szCs w:val="22"/>
        </w:rPr>
        <w:t>Submissions were called for on 9 October 2015 for a six-week consultation period.</w:t>
      </w:r>
    </w:p>
    <w:p w14:paraId="7ED95DE9" w14:textId="77777777" w:rsidR="009F4096" w:rsidRPr="0041193E" w:rsidRDefault="009F4096" w:rsidP="009F4096"/>
    <w:p w14:paraId="73F4BAAA" w14:textId="5F42EB9B" w:rsidR="009F4096" w:rsidRDefault="009F4096" w:rsidP="009F4096">
      <w:pPr>
        <w:widowControl/>
        <w:autoSpaceDE w:val="0"/>
        <w:autoSpaceDN w:val="0"/>
        <w:adjustRightInd w:val="0"/>
      </w:pPr>
      <w:r w:rsidRPr="0041193E">
        <w:rPr>
          <w:rFonts w:eastAsia="Calibri" w:cs="Arial"/>
          <w:bCs/>
          <w:szCs w:val="22"/>
          <w:lang w:val="en-AU" w:bidi="ar-SA"/>
        </w:rPr>
        <w:t>A Regulation Impact Statement was not required because the proposed variations to Standard</w:t>
      </w:r>
      <w:r>
        <w:rPr>
          <w:rFonts w:eastAsia="Calibri" w:cs="Arial"/>
          <w:bCs/>
          <w:szCs w:val="22"/>
          <w:lang w:val="en-AU" w:bidi="ar-SA"/>
        </w:rPr>
        <w:t xml:space="preserve"> 1.1.2</w:t>
      </w:r>
      <w:r w:rsidR="00556919">
        <w:rPr>
          <w:rFonts w:eastAsia="Calibri" w:cs="Arial"/>
          <w:bCs/>
          <w:szCs w:val="22"/>
          <w:lang w:val="en-AU" w:bidi="ar-SA"/>
        </w:rPr>
        <w:t xml:space="preserve"> </w:t>
      </w:r>
      <w:r>
        <w:rPr>
          <w:rFonts w:eastAsia="Calibri" w:cs="Arial"/>
          <w:bCs/>
          <w:szCs w:val="22"/>
          <w:lang w:val="en-AU" w:bidi="ar-SA"/>
        </w:rPr>
        <w:t>and Schedule 27</w:t>
      </w:r>
      <w:r w:rsidRPr="0041193E">
        <w:rPr>
          <w:rFonts w:eastAsia="Calibri" w:cs="Arial"/>
          <w:bCs/>
          <w:szCs w:val="22"/>
          <w:lang w:val="en-AU" w:bidi="ar-SA"/>
        </w:rPr>
        <w:t xml:space="preserve"> </w:t>
      </w:r>
      <w:r w:rsidRPr="0041193E">
        <w:t xml:space="preserve">are likely to have a minor impact on business and individuals. </w:t>
      </w:r>
    </w:p>
    <w:p w14:paraId="4018190E" w14:textId="77777777" w:rsidR="00FF6EB7" w:rsidRPr="0041193E" w:rsidRDefault="00FF6EB7" w:rsidP="009F4096">
      <w:pPr>
        <w:widowControl/>
        <w:autoSpaceDE w:val="0"/>
        <w:autoSpaceDN w:val="0"/>
        <w:adjustRightInd w:val="0"/>
        <w:rPr>
          <w:rFonts w:cs="Arial"/>
          <w:szCs w:val="22"/>
        </w:rPr>
      </w:pPr>
    </w:p>
    <w:p w14:paraId="32509554" w14:textId="77777777" w:rsidR="00456BD5" w:rsidRDefault="00456BD5" w:rsidP="00587247">
      <w:pPr>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2509555" w14:textId="77777777" w:rsidR="00456BD5" w:rsidRDefault="00456BD5" w:rsidP="00456BD5">
      <w:pPr>
        <w:rPr>
          <w:rFonts w:eastAsiaTheme="minorHAnsi"/>
          <w:lang w:val="en-AU" w:bidi="ar-SA"/>
        </w:rPr>
      </w:pPr>
    </w:p>
    <w:p w14:paraId="32509556"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2509557" w14:textId="77777777" w:rsidR="00456BD5" w:rsidRDefault="00456BD5" w:rsidP="00456BD5">
      <w:pPr>
        <w:rPr>
          <w:rFonts w:eastAsiaTheme="minorHAnsi"/>
          <w:lang w:val="en-AU" w:bidi="ar-SA"/>
        </w:rPr>
      </w:pPr>
    </w:p>
    <w:p w14:paraId="6CD72A99" w14:textId="77777777" w:rsidR="00C301B3" w:rsidRDefault="00C301B3" w:rsidP="00456BD5">
      <w:pPr>
        <w:rPr>
          <w:b/>
        </w:rPr>
      </w:pPr>
      <w:r>
        <w:rPr>
          <w:b/>
        </w:rPr>
        <w:br w:type="page"/>
      </w:r>
    </w:p>
    <w:p w14:paraId="32509558" w14:textId="041676C6"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32509559" w14:textId="77777777" w:rsidR="00456BD5" w:rsidRPr="001333EB" w:rsidRDefault="00456BD5" w:rsidP="00456BD5"/>
    <w:p w14:paraId="3E980FEA" w14:textId="397B8732" w:rsidR="00363C49" w:rsidRPr="001333EB" w:rsidRDefault="00363C49" w:rsidP="00363C49">
      <w:r w:rsidRPr="00C672AF">
        <w:t xml:space="preserve">Item [1] varies </w:t>
      </w:r>
      <w:r w:rsidR="00C672AF">
        <w:t xml:space="preserve">subsection 1.1.2—2(3) of Standard 1.1.2 by replacing the definition for </w:t>
      </w:r>
      <w:r w:rsidR="00C672AF" w:rsidRPr="00122257">
        <w:rPr>
          <w:b/>
        </w:rPr>
        <w:t>SPC</w:t>
      </w:r>
      <w:r w:rsidR="00C672AF">
        <w:rPr>
          <w:b/>
        </w:rPr>
        <w:t xml:space="preserve">. </w:t>
      </w:r>
      <w:r w:rsidR="00C672AF" w:rsidRPr="00122257">
        <w:t>The new definition</w:t>
      </w:r>
      <w:r w:rsidR="00C672AF" w:rsidRPr="00422C48">
        <w:t xml:space="preserve"> </w:t>
      </w:r>
      <w:r w:rsidR="00C672AF">
        <w:t>reflects the variation made by</w:t>
      </w:r>
      <w:r w:rsidR="00C672AF" w:rsidRPr="00422C48">
        <w:t xml:space="preserve"> </w:t>
      </w:r>
      <w:r w:rsidR="00C672AF">
        <w:t>i</w:t>
      </w:r>
      <w:r w:rsidR="00C672AF" w:rsidRPr="00422C48">
        <w:t xml:space="preserve">tem </w:t>
      </w:r>
      <w:r w:rsidR="00C672AF">
        <w:t>[</w:t>
      </w:r>
      <w:r w:rsidR="00B5603A">
        <w:t>2</w:t>
      </w:r>
      <w:r w:rsidR="00C672AF" w:rsidRPr="00422C48">
        <w:t>.2</w:t>
      </w:r>
      <w:r w:rsidR="00C672AF">
        <w:t>] below, which</w:t>
      </w:r>
      <w:r w:rsidR="00C672AF" w:rsidRPr="00422C48">
        <w:t xml:space="preserve"> removes the </w:t>
      </w:r>
      <w:r w:rsidR="00C672AF" w:rsidRPr="00422C48">
        <w:rPr>
          <w:iCs/>
        </w:rPr>
        <w:t xml:space="preserve">limit for SPC in powdered infant formula </w:t>
      </w:r>
      <w:r w:rsidR="00C672AF" w:rsidRPr="006852A9">
        <w:rPr>
          <w:iCs/>
        </w:rPr>
        <w:t xml:space="preserve">from the </w:t>
      </w:r>
      <w:r w:rsidR="00C672AF" w:rsidRPr="006852A9" w:rsidDel="009722D5">
        <w:rPr>
          <w:iCs/>
        </w:rPr>
        <w:t>Code</w:t>
      </w:r>
      <w:r w:rsidR="00C672AF">
        <w:rPr>
          <w:iCs/>
        </w:rPr>
        <w:t>.</w:t>
      </w:r>
    </w:p>
    <w:p w14:paraId="6AA76556" w14:textId="77777777" w:rsidR="00363C49" w:rsidRPr="001333EB" w:rsidRDefault="00363C49" w:rsidP="00363C49"/>
    <w:p w14:paraId="202E5CC3" w14:textId="760E94EF" w:rsidR="00363C49" w:rsidRPr="00C672AF" w:rsidRDefault="00363C49" w:rsidP="00363C49">
      <w:pPr>
        <w:rPr>
          <w:iCs/>
        </w:rPr>
      </w:pPr>
      <w:r w:rsidRPr="001333EB">
        <w:t xml:space="preserve">Item </w:t>
      </w:r>
      <w:r>
        <w:t>[</w:t>
      </w:r>
      <w:r w:rsidRPr="001333EB">
        <w:t>2</w:t>
      </w:r>
      <w:r>
        <w:t>]</w:t>
      </w:r>
      <w:r w:rsidRPr="001333EB">
        <w:t xml:space="preserve"> </w:t>
      </w:r>
      <w:r>
        <w:t>varies Schedule 27.</w:t>
      </w:r>
    </w:p>
    <w:p w14:paraId="2DA9559F" w14:textId="77777777" w:rsidR="00363C49" w:rsidRDefault="00363C49" w:rsidP="00363C49"/>
    <w:p w14:paraId="544671C1" w14:textId="64CC0107" w:rsidR="00363C49" w:rsidRDefault="00363C49" w:rsidP="00363C49">
      <w:r>
        <w:t>Item [</w:t>
      </w:r>
      <w:r w:rsidR="00C672AF">
        <w:t>2</w:t>
      </w:r>
      <w:r>
        <w:t>.1] replaces the Note to section 27—2 to reflect the variation made by item [</w:t>
      </w:r>
      <w:r w:rsidR="00B5603A">
        <w:t>1</w:t>
      </w:r>
      <w:r>
        <w:t xml:space="preserve">] above. The new Note refers to the amended definition of </w:t>
      </w:r>
      <w:r w:rsidRPr="00122257">
        <w:rPr>
          <w:b/>
        </w:rPr>
        <w:t>SPC</w:t>
      </w:r>
      <w:r>
        <w:t xml:space="preserve"> in subsection 1.1.2—2(3) of Standard 1.1.2.</w:t>
      </w:r>
    </w:p>
    <w:p w14:paraId="2D86CD69" w14:textId="77777777" w:rsidR="00363C49" w:rsidRDefault="00363C49" w:rsidP="00363C49"/>
    <w:p w14:paraId="2782F5E2" w14:textId="2927A2F6" w:rsidR="00363C49" w:rsidRDefault="00363C49" w:rsidP="00363C49">
      <w:r>
        <w:t>Item [</w:t>
      </w:r>
      <w:r w:rsidR="00C672AF">
        <w:t>2</w:t>
      </w:r>
      <w:r>
        <w:t>.2] omits section S27—3. Section S27—3 provides that the</w:t>
      </w:r>
      <w:r w:rsidRPr="001D1563">
        <w:t xml:space="preserve"> limit for SPC in section S27—4 does not apply to powdered infant formula products</w:t>
      </w:r>
      <w:r w:rsidRPr="001D1563" w:rsidDel="00DC20B6">
        <w:t xml:space="preserve"> </w:t>
      </w:r>
      <w:r w:rsidRPr="001D1563">
        <w:t>that contain lactic acid producing microorganisms</w:t>
      </w:r>
      <w:r>
        <w:t>. This</w:t>
      </w:r>
      <w:r w:rsidRPr="00CF0C7A">
        <w:t xml:space="preserve"> exemption </w:t>
      </w:r>
      <w:r>
        <w:rPr>
          <w:iCs/>
        </w:rPr>
        <w:t>is no longer required as item [</w:t>
      </w:r>
      <w:r w:rsidR="00982D05">
        <w:rPr>
          <w:iCs/>
        </w:rPr>
        <w:t>2</w:t>
      </w:r>
      <w:r>
        <w:rPr>
          <w:iCs/>
        </w:rPr>
        <w:t>.3] removes the limits for SPC in powdered infant formula</w:t>
      </w:r>
      <w:r w:rsidR="00587247">
        <w:rPr>
          <w:iCs/>
        </w:rPr>
        <w:t xml:space="preserve"> products</w:t>
      </w:r>
      <w:r>
        <w:rPr>
          <w:iCs/>
        </w:rPr>
        <w:t xml:space="preserve"> from the Code.</w:t>
      </w:r>
    </w:p>
    <w:p w14:paraId="661FB68A" w14:textId="77777777" w:rsidR="00363C49" w:rsidRDefault="00363C49" w:rsidP="00363C49">
      <w:r>
        <w:t xml:space="preserve"> </w:t>
      </w:r>
    </w:p>
    <w:p w14:paraId="69AACB5C" w14:textId="3711F9A0" w:rsidR="00363C49" w:rsidRDefault="00363C49" w:rsidP="00363C49">
      <w:r>
        <w:t>Item [</w:t>
      </w:r>
      <w:r w:rsidR="00C672AF">
        <w:t>2</w:t>
      </w:r>
      <w:r>
        <w:t xml:space="preserve">.3] </w:t>
      </w:r>
      <w:r w:rsidR="00B5603A">
        <w:t xml:space="preserve">replaces </w:t>
      </w:r>
      <w:r>
        <w:t xml:space="preserve">the table to section S27—4. The </w:t>
      </w:r>
      <w:r w:rsidR="00B5603A">
        <w:t>new table</w:t>
      </w:r>
      <w:r>
        <w:t>:</w:t>
      </w:r>
    </w:p>
    <w:p w14:paraId="58487298" w14:textId="77777777" w:rsidR="00363C49" w:rsidRDefault="00363C49" w:rsidP="00363C49"/>
    <w:p w14:paraId="6E6119D1" w14:textId="52B4287F" w:rsidR="00363C49" w:rsidRDefault="00363C49" w:rsidP="00363C49">
      <w:pPr>
        <w:pStyle w:val="FSBullet1"/>
        <w:numPr>
          <w:ilvl w:val="0"/>
          <w:numId w:val="6"/>
        </w:numPr>
        <w:ind w:left="567" w:hanging="567"/>
      </w:pPr>
      <w:r>
        <w:t xml:space="preserve">separates the microbiological limits for powdered infant formula products into two new food categories: powdered infant formula </w:t>
      </w:r>
      <w:r w:rsidR="00587247">
        <w:t xml:space="preserve">products </w:t>
      </w:r>
      <w:r>
        <w:t>and powdered follow-on formula</w:t>
      </w:r>
    </w:p>
    <w:p w14:paraId="1E2856A5" w14:textId="77777777" w:rsidR="00363C49" w:rsidRPr="00A11D2B" w:rsidRDefault="00363C49" w:rsidP="00363C49"/>
    <w:p w14:paraId="0C90CB31" w14:textId="0FDB66EE" w:rsidR="00363C49" w:rsidRDefault="00363C49" w:rsidP="00363C49">
      <w:pPr>
        <w:pStyle w:val="FSBullet1"/>
        <w:numPr>
          <w:ilvl w:val="0"/>
          <w:numId w:val="6"/>
        </w:numPr>
        <w:ind w:left="567" w:hanging="567"/>
      </w:pPr>
      <w:r>
        <w:t>removes</w:t>
      </w:r>
      <w:r w:rsidRPr="00CF0C7A">
        <w:t xml:space="preserve"> the current limits specified </w:t>
      </w:r>
      <w:r>
        <w:t xml:space="preserve">in the table </w:t>
      </w:r>
      <w:r w:rsidRPr="00CF0C7A">
        <w:t>for Coliforms</w:t>
      </w:r>
      <w:r>
        <w:t xml:space="preserve">, </w:t>
      </w:r>
      <w:r w:rsidRPr="00CF0C7A">
        <w:t>Coagulase-positive staphylococci</w:t>
      </w:r>
      <w:r>
        <w:t xml:space="preserve">, </w:t>
      </w:r>
      <w:r w:rsidRPr="0091415F">
        <w:rPr>
          <w:i/>
        </w:rPr>
        <w:t>Bacillus cereus</w:t>
      </w:r>
      <w:r>
        <w:t xml:space="preserve"> and </w:t>
      </w:r>
      <w:r w:rsidRPr="00CF0C7A">
        <w:t xml:space="preserve">SPC in </w:t>
      </w:r>
      <w:r>
        <w:t>respect of these foods</w:t>
      </w:r>
    </w:p>
    <w:p w14:paraId="29CFC2B6" w14:textId="77777777" w:rsidR="00363C49" w:rsidRDefault="00363C49" w:rsidP="00363C49">
      <w:pPr>
        <w:pStyle w:val="FSBullet1"/>
        <w:numPr>
          <w:ilvl w:val="0"/>
          <w:numId w:val="0"/>
        </w:numPr>
        <w:ind w:left="567"/>
      </w:pPr>
    </w:p>
    <w:p w14:paraId="226D8487" w14:textId="75377D8E" w:rsidR="00363C49" w:rsidRDefault="00363C49" w:rsidP="00363C49">
      <w:pPr>
        <w:pStyle w:val="FSBullet1"/>
        <w:numPr>
          <w:ilvl w:val="0"/>
          <w:numId w:val="6"/>
        </w:numPr>
        <w:ind w:left="567" w:hanging="567"/>
      </w:pPr>
      <w:r w:rsidRPr="00CF0C7A">
        <w:t>amend</w:t>
      </w:r>
      <w:r>
        <w:t>s</w:t>
      </w:r>
      <w:r w:rsidRPr="00CF0C7A">
        <w:t xml:space="preserve"> the sampling plan for </w:t>
      </w:r>
      <w:r w:rsidRPr="0091415F">
        <w:rPr>
          <w:i/>
        </w:rPr>
        <w:t>Salmonella</w:t>
      </w:r>
      <w:r w:rsidRPr="00CF0C7A">
        <w:t xml:space="preserve"> in </w:t>
      </w:r>
      <w:r>
        <w:t>these foods</w:t>
      </w:r>
      <w:r w:rsidRPr="00CF0C7A">
        <w:t xml:space="preserve"> by repl</w:t>
      </w:r>
      <w:r>
        <w:t>acing 10 with 60 in Column 2(n) in the table</w:t>
      </w:r>
    </w:p>
    <w:p w14:paraId="5E8202A9" w14:textId="77777777" w:rsidR="00363C49" w:rsidRPr="00CF0C7A" w:rsidRDefault="00363C49" w:rsidP="00363C49">
      <w:pPr>
        <w:pStyle w:val="FSBullet1"/>
        <w:numPr>
          <w:ilvl w:val="0"/>
          <w:numId w:val="0"/>
        </w:numPr>
        <w:ind w:left="567"/>
      </w:pPr>
    </w:p>
    <w:p w14:paraId="3CAD0282" w14:textId="0DB18C97" w:rsidR="00363C49" w:rsidRDefault="00363C49" w:rsidP="00363C49">
      <w:pPr>
        <w:pStyle w:val="FSBullet1"/>
        <w:numPr>
          <w:ilvl w:val="0"/>
          <w:numId w:val="6"/>
        </w:numPr>
        <w:ind w:left="567" w:hanging="567"/>
      </w:pPr>
      <w:r>
        <w:t>inserts new</w:t>
      </w:r>
      <w:r w:rsidRPr="00CF0C7A">
        <w:t xml:space="preserve"> limits for </w:t>
      </w:r>
      <w:proofErr w:type="spellStart"/>
      <w:r w:rsidRPr="0091415F">
        <w:rPr>
          <w:i/>
        </w:rPr>
        <w:t>Cronobacter</w:t>
      </w:r>
      <w:proofErr w:type="spellEnd"/>
      <w:r w:rsidRPr="00CF0C7A">
        <w:t xml:space="preserve"> in powdered infant formula</w:t>
      </w:r>
      <w:r w:rsidR="00587247">
        <w:t xml:space="preserve"> products</w:t>
      </w:r>
      <w:r>
        <w:t xml:space="preserve">, </w:t>
      </w:r>
      <w:r w:rsidRPr="00CF0C7A">
        <w:t>where</w:t>
      </w:r>
      <w:r>
        <w:t xml:space="preserve"> the number of sample units (n) </w:t>
      </w:r>
      <w:r w:rsidR="00587247">
        <w:t>is 3</w:t>
      </w:r>
      <w:r w:rsidRPr="00CF0C7A">
        <w:t>0,</w:t>
      </w:r>
      <w:r>
        <w:t xml:space="preserve"> the acceptable microbiological limit (m) </w:t>
      </w:r>
      <w:r w:rsidRPr="00CF0C7A">
        <w:t xml:space="preserve">is </w:t>
      </w:r>
      <w:r>
        <w:t>‘</w:t>
      </w:r>
      <w:r w:rsidRPr="00CF0C7A">
        <w:t>not dete</w:t>
      </w:r>
      <w:r>
        <w:t>cted in 10g’, and</w:t>
      </w:r>
      <w:r w:rsidRPr="00CF0C7A">
        <w:t xml:space="preserve"> </w:t>
      </w:r>
      <w:r>
        <w:t>the number of sample units allowed to exceed that acceptable microbiological limit (c)</w:t>
      </w:r>
      <w:r w:rsidRPr="00CF0C7A">
        <w:t xml:space="preserve"> is 0</w:t>
      </w:r>
      <w:r>
        <w:t xml:space="preserve">. </w:t>
      </w:r>
      <w:r w:rsidRPr="00CF0C7A">
        <w:t>These limits do</w:t>
      </w:r>
      <w:r>
        <w:t xml:space="preserve"> not apply to powdered follow-on formula</w:t>
      </w:r>
      <w:r w:rsidRPr="00CF0C7A">
        <w:t>.</w:t>
      </w:r>
    </w:p>
    <w:p w14:paraId="3250955E" w14:textId="77777777" w:rsidR="00456BD5" w:rsidRDefault="00456BD5" w:rsidP="00456BD5"/>
    <w:p w14:paraId="1511441B" w14:textId="45BECEF8" w:rsidR="001C6553" w:rsidRPr="00AB2B03" w:rsidRDefault="001C6553" w:rsidP="001C6553">
      <w:r>
        <w:t>The stock-in-trade exemption provided by section</w:t>
      </w:r>
      <w:r w:rsidRPr="00AB2B03">
        <w:t xml:space="preserve"> 1.1.1</w:t>
      </w:r>
      <w:r>
        <w:t xml:space="preserve">—9 of </w:t>
      </w:r>
      <w:r w:rsidRPr="00AB2B03">
        <w:t>Standard 1.1.1</w:t>
      </w:r>
      <w:r>
        <w:t xml:space="preserve"> does not apply to any of the above variations. See clause 3 of the instrument.</w:t>
      </w:r>
    </w:p>
    <w:p w14:paraId="32509560" w14:textId="77777777" w:rsidR="00456BD5" w:rsidRDefault="00456BD5" w:rsidP="00456BD5">
      <w:pPr>
        <w:pStyle w:val="Heading2"/>
      </w:pPr>
      <w:r>
        <w:br w:type="page"/>
      </w:r>
    </w:p>
    <w:p w14:paraId="32509561" w14:textId="4CB874FF" w:rsidR="00795D86" w:rsidRPr="00363C49" w:rsidRDefault="003C4969" w:rsidP="007D0189">
      <w:pPr>
        <w:pStyle w:val="Heading2"/>
        <w:ind w:left="0" w:firstLine="0"/>
      </w:pPr>
      <w:bookmarkStart w:id="113" w:name="_Toc440636845"/>
      <w:r w:rsidRPr="00363C49">
        <w:lastRenderedPageBreak/>
        <w:t xml:space="preserve">Attachment </w:t>
      </w:r>
      <w:bookmarkStart w:id="114" w:name="_Toc11735637"/>
      <w:bookmarkStart w:id="115" w:name="_Toc29883122"/>
      <w:bookmarkStart w:id="116" w:name="_Toc41906809"/>
      <w:bookmarkStart w:id="117" w:name="_Toc41907556"/>
      <w:bookmarkStart w:id="118" w:name="_Toc120358587"/>
      <w:bookmarkStart w:id="119" w:name="_Toc175381446"/>
      <w:bookmarkStart w:id="120" w:name="_Toc175381454"/>
      <w:bookmarkEnd w:id="110"/>
      <w:bookmarkEnd w:id="111"/>
      <w:r w:rsidR="007D0189" w:rsidRPr="00363C49">
        <w:t>C</w:t>
      </w:r>
      <w:r w:rsidR="00486C66" w:rsidRPr="00363C49">
        <w:t xml:space="preserve"> – </w:t>
      </w:r>
      <w:r w:rsidR="00795D86" w:rsidRPr="00587247">
        <w:t xml:space="preserve">Draft variations to the </w:t>
      </w:r>
      <w:r w:rsidR="00795D86" w:rsidRPr="00587247">
        <w:rPr>
          <w:i/>
        </w:rPr>
        <w:t xml:space="preserve">Australia </w:t>
      </w:r>
      <w:r w:rsidR="00795D86" w:rsidRPr="00363C49">
        <w:rPr>
          <w:i/>
        </w:rPr>
        <w:t>New Zealand Food Standards Code</w:t>
      </w:r>
      <w:r w:rsidR="00E47D3B" w:rsidRPr="00363C49">
        <w:rPr>
          <w:i/>
        </w:rPr>
        <w:t xml:space="preserve"> </w:t>
      </w:r>
      <w:r w:rsidR="00E47D3B" w:rsidRPr="00363C49">
        <w:t>(call for submissions)</w:t>
      </w:r>
      <w:bookmarkEnd w:id="113"/>
    </w:p>
    <w:p w14:paraId="6CD1805B" w14:textId="2644721A" w:rsidR="00363C49" w:rsidRPr="00C366D2" w:rsidRDefault="00363C49" w:rsidP="00B323C6">
      <w:pPr>
        <w:rPr>
          <w:noProof/>
          <w:lang w:val="en-AU" w:eastAsia="en-AU"/>
        </w:rPr>
      </w:pPr>
      <w:bookmarkStart w:id="121" w:name="_Toc440550417"/>
      <w:r w:rsidRPr="00C366D2">
        <w:rPr>
          <w:noProof/>
          <w:lang w:eastAsia="en-GB" w:bidi="ar-SA"/>
        </w:rPr>
        <w:drawing>
          <wp:inline distT="0" distB="0" distL="0" distR="0" wp14:anchorId="06F73EF7" wp14:editId="56372FDE">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bookmarkEnd w:id="121"/>
    </w:p>
    <w:p w14:paraId="3C360571" w14:textId="77777777" w:rsidR="00363C49" w:rsidRPr="00C366D2" w:rsidRDefault="00363C49" w:rsidP="00363C49">
      <w:pPr>
        <w:pBdr>
          <w:bottom w:val="single" w:sz="4" w:space="1" w:color="auto"/>
        </w:pBdr>
        <w:tabs>
          <w:tab w:val="left" w:pos="851"/>
        </w:tabs>
        <w:rPr>
          <w:b/>
          <w:bCs/>
          <w:szCs w:val="20"/>
          <w:lang w:bidi="ar-SA"/>
        </w:rPr>
      </w:pPr>
    </w:p>
    <w:p w14:paraId="7F7B868E" w14:textId="77777777" w:rsidR="00363C49" w:rsidRPr="00C366D2" w:rsidRDefault="00363C49" w:rsidP="00363C49">
      <w:pPr>
        <w:pBdr>
          <w:bottom w:val="single" w:sz="4" w:space="1" w:color="auto"/>
        </w:pBdr>
        <w:tabs>
          <w:tab w:val="left" w:pos="851"/>
        </w:tabs>
        <w:rPr>
          <w:b/>
          <w:sz w:val="20"/>
          <w:szCs w:val="20"/>
          <w:lang w:bidi="ar-SA"/>
        </w:rPr>
      </w:pPr>
      <w:r w:rsidRPr="00C366D2">
        <w:rPr>
          <w:b/>
          <w:sz w:val="20"/>
          <w:szCs w:val="20"/>
          <w:lang w:bidi="ar-SA"/>
        </w:rPr>
        <w:t>Food Standards (Proposal P1039 – Microbiological Criteria for Infant Formula) Variation</w:t>
      </w:r>
    </w:p>
    <w:p w14:paraId="40E5F2DE" w14:textId="77777777" w:rsidR="00363C49" w:rsidRPr="00C366D2" w:rsidRDefault="00363C49" w:rsidP="00363C49">
      <w:pPr>
        <w:pBdr>
          <w:bottom w:val="single" w:sz="4" w:space="1" w:color="auto"/>
        </w:pBdr>
        <w:tabs>
          <w:tab w:val="left" w:pos="851"/>
        </w:tabs>
        <w:rPr>
          <w:b/>
          <w:sz w:val="20"/>
          <w:szCs w:val="20"/>
          <w:lang w:bidi="ar-SA"/>
        </w:rPr>
      </w:pPr>
    </w:p>
    <w:p w14:paraId="50A2FD19" w14:textId="77777777" w:rsidR="00363C49" w:rsidRPr="00C366D2" w:rsidRDefault="00363C49" w:rsidP="00363C49">
      <w:pPr>
        <w:tabs>
          <w:tab w:val="left" w:pos="851"/>
        </w:tabs>
        <w:rPr>
          <w:sz w:val="20"/>
          <w:szCs w:val="20"/>
          <w:lang w:bidi="ar-SA"/>
        </w:rPr>
      </w:pPr>
    </w:p>
    <w:p w14:paraId="17D488BE" w14:textId="77777777" w:rsidR="00363C49" w:rsidRPr="00C366D2" w:rsidRDefault="00363C49" w:rsidP="00363C49">
      <w:pPr>
        <w:tabs>
          <w:tab w:val="left" w:pos="851"/>
        </w:tabs>
        <w:rPr>
          <w:sz w:val="20"/>
          <w:szCs w:val="20"/>
          <w:lang w:bidi="ar-SA"/>
        </w:rPr>
      </w:pPr>
      <w:r w:rsidRPr="00C366D2">
        <w:rPr>
          <w:sz w:val="20"/>
          <w:szCs w:val="20"/>
          <w:lang w:bidi="ar-SA"/>
        </w:rPr>
        <w:t xml:space="preserve">The Board of Food Standards Australia New Zealand gives notice of the making of this variation under section 92 of the </w:t>
      </w:r>
      <w:r w:rsidRPr="00C366D2">
        <w:rPr>
          <w:i/>
          <w:sz w:val="20"/>
          <w:szCs w:val="20"/>
          <w:lang w:bidi="ar-SA"/>
        </w:rPr>
        <w:t>Food Standards Australia New Zealand Act 1991</w:t>
      </w:r>
      <w:r w:rsidRPr="00C366D2">
        <w:rPr>
          <w:sz w:val="20"/>
          <w:szCs w:val="20"/>
          <w:lang w:bidi="ar-SA"/>
        </w:rPr>
        <w:t>.  The variation commences on the date specified in clause 3 of this variation.</w:t>
      </w:r>
    </w:p>
    <w:p w14:paraId="4F8EA0A3" w14:textId="77777777" w:rsidR="00363C49" w:rsidRPr="00C366D2" w:rsidRDefault="00363C49" w:rsidP="00363C49">
      <w:pPr>
        <w:tabs>
          <w:tab w:val="left" w:pos="851"/>
        </w:tabs>
        <w:rPr>
          <w:sz w:val="20"/>
          <w:szCs w:val="20"/>
          <w:lang w:bidi="ar-SA"/>
        </w:rPr>
      </w:pPr>
    </w:p>
    <w:p w14:paraId="2DB56F39" w14:textId="77777777" w:rsidR="00363C49" w:rsidRPr="00C366D2" w:rsidRDefault="00363C49" w:rsidP="00363C49">
      <w:pPr>
        <w:tabs>
          <w:tab w:val="left" w:pos="851"/>
        </w:tabs>
        <w:rPr>
          <w:sz w:val="20"/>
          <w:szCs w:val="20"/>
          <w:lang w:bidi="ar-SA"/>
        </w:rPr>
      </w:pPr>
      <w:r w:rsidRPr="00C366D2">
        <w:rPr>
          <w:sz w:val="20"/>
          <w:szCs w:val="20"/>
          <w:lang w:bidi="ar-SA"/>
        </w:rPr>
        <w:t>Dated [To be completed by Standards Management Officer]</w:t>
      </w:r>
    </w:p>
    <w:p w14:paraId="2478A7AA" w14:textId="77777777" w:rsidR="00363C49" w:rsidRPr="00C366D2" w:rsidRDefault="00363C49" w:rsidP="00363C49">
      <w:pPr>
        <w:tabs>
          <w:tab w:val="left" w:pos="851"/>
        </w:tabs>
        <w:rPr>
          <w:sz w:val="20"/>
          <w:szCs w:val="20"/>
          <w:lang w:bidi="ar-SA"/>
        </w:rPr>
      </w:pPr>
    </w:p>
    <w:p w14:paraId="43C4E2F3" w14:textId="77777777" w:rsidR="00363C49" w:rsidRPr="00C366D2" w:rsidRDefault="00363C49" w:rsidP="00363C49">
      <w:pPr>
        <w:tabs>
          <w:tab w:val="left" w:pos="851"/>
        </w:tabs>
        <w:rPr>
          <w:sz w:val="20"/>
          <w:szCs w:val="20"/>
          <w:lang w:bidi="ar-SA"/>
        </w:rPr>
      </w:pPr>
    </w:p>
    <w:p w14:paraId="734354F9" w14:textId="77777777" w:rsidR="00363C49" w:rsidRPr="00C366D2" w:rsidRDefault="00363C49" w:rsidP="00363C49">
      <w:pPr>
        <w:tabs>
          <w:tab w:val="left" w:pos="851"/>
        </w:tabs>
        <w:rPr>
          <w:sz w:val="20"/>
          <w:szCs w:val="20"/>
          <w:lang w:bidi="ar-SA"/>
        </w:rPr>
      </w:pPr>
    </w:p>
    <w:p w14:paraId="791FC658" w14:textId="77777777" w:rsidR="00363C49" w:rsidRPr="00C366D2" w:rsidRDefault="00363C49" w:rsidP="00363C49">
      <w:pPr>
        <w:tabs>
          <w:tab w:val="left" w:pos="851"/>
        </w:tabs>
        <w:rPr>
          <w:sz w:val="20"/>
          <w:szCs w:val="20"/>
          <w:lang w:bidi="ar-SA"/>
        </w:rPr>
      </w:pPr>
    </w:p>
    <w:p w14:paraId="530921C4" w14:textId="77777777" w:rsidR="00363C49" w:rsidRPr="00C366D2" w:rsidRDefault="00363C49" w:rsidP="00363C49">
      <w:pPr>
        <w:tabs>
          <w:tab w:val="left" w:pos="851"/>
        </w:tabs>
        <w:rPr>
          <w:sz w:val="20"/>
          <w:szCs w:val="20"/>
          <w:lang w:bidi="ar-SA"/>
        </w:rPr>
      </w:pPr>
    </w:p>
    <w:p w14:paraId="20614987" w14:textId="77777777" w:rsidR="00363C49" w:rsidRPr="00C366D2" w:rsidRDefault="00363C49" w:rsidP="00363C49">
      <w:pPr>
        <w:tabs>
          <w:tab w:val="left" w:pos="851"/>
        </w:tabs>
        <w:rPr>
          <w:sz w:val="20"/>
          <w:szCs w:val="20"/>
          <w:lang w:bidi="ar-SA"/>
        </w:rPr>
      </w:pPr>
      <w:r w:rsidRPr="00C366D2">
        <w:rPr>
          <w:sz w:val="20"/>
          <w:szCs w:val="20"/>
          <w:lang w:bidi="ar-SA"/>
        </w:rPr>
        <w:t>Standards Management Officer</w:t>
      </w:r>
    </w:p>
    <w:p w14:paraId="4F4E740B" w14:textId="77777777" w:rsidR="00363C49" w:rsidRPr="00C366D2" w:rsidRDefault="00363C49" w:rsidP="00363C49">
      <w:pPr>
        <w:tabs>
          <w:tab w:val="left" w:pos="851"/>
        </w:tabs>
        <w:rPr>
          <w:sz w:val="20"/>
          <w:szCs w:val="20"/>
          <w:lang w:bidi="ar-SA"/>
        </w:rPr>
      </w:pPr>
      <w:r w:rsidRPr="00C366D2">
        <w:rPr>
          <w:sz w:val="20"/>
          <w:szCs w:val="20"/>
          <w:lang w:bidi="ar-SA"/>
        </w:rPr>
        <w:t>Delegate of the Board of Food Standards Australia New Zealand</w:t>
      </w:r>
    </w:p>
    <w:p w14:paraId="0FC6A616" w14:textId="77777777" w:rsidR="00363C49" w:rsidRPr="00C366D2" w:rsidRDefault="00363C49" w:rsidP="00363C49">
      <w:pPr>
        <w:tabs>
          <w:tab w:val="left" w:pos="851"/>
        </w:tabs>
        <w:rPr>
          <w:sz w:val="20"/>
          <w:szCs w:val="20"/>
          <w:lang w:bidi="ar-SA"/>
        </w:rPr>
      </w:pPr>
    </w:p>
    <w:p w14:paraId="52DE5689" w14:textId="77777777" w:rsidR="00363C49" w:rsidRPr="00C366D2" w:rsidRDefault="00363C49" w:rsidP="00363C49">
      <w:pPr>
        <w:tabs>
          <w:tab w:val="left" w:pos="851"/>
        </w:tabs>
        <w:rPr>
          <w:sz w:val="20"/>
          <w:szCs w:val="20"/>
          <w:lang w:bidi="ar-SA"/>
        </w:rPr>
      </w:pPr>
    </w:p>
    <w:p w14:paraId="36AA969E" w14:textId="77777777" w:rsidR="00363C49" w:rsidRPr="00C366D2" w:rsidRDefault="00363C49" w:rsidP="00363C49">
      <w:pPr>
        <w:tabs>
          <w:tab w:val="left" w:pos="851"/>
        </w:tabs>
        <w:rPr>
          <w:sz w:val="20"/>
          <w:szCs w:val="20"/>
          <w:lang w:bidi="ar-SA"/>
        </w:rPr>
      </w:pPr>
    </w:p>
    <w:p w14:paraId="496104DD" w14:textId="77777777" w:rsidR="00363C49" w:rsidRPr="00C366D2" w:rsidRDefault="00363C49" w:rsidP="00363C49">
      <w:pPr>
        <w:tabs>
          <w:tab w:val="left" w:pos="851"/>
        </w:tabs>
        <w:rPr>
          <w:sz w:val="20"/>
          <w:szCs w:val="20"/>
          <w:lang w:bidi="ar-SA"/>
        </w:rPr>
      </w:pPr>
    </w:p>
    <w:p w14:paraId="2A04677B" w14:textId="77777777" w:rsidR="00363C49" w:rsidRPr="00C366D2" w:rsidRDefault="00363C49" w:rsidP="00363C49">
      <w:pPr>
        <w:tabs>
          <w:tab w:val="left" w:pos="851"/>
        </w:tabs>
        <w:rPr>
          <w:sz w:val="20"/>
          <w:szCs w:val="20"/>
          <w:lang w:bidi="ar-SA"/>
        </w:rPr>
      </w:pPr>
    </w:p>
    <w:p w14:paraId="0602A152" w14:textId="77777777" w:rsidR="00363C49" w:rsidRPr="00C366D2" w:rsidRDefault="00363C49" w:rsidP="00363C49">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C366D2">
        <w:rPr>
          <w:b/>
          <w:sz w:val="20"/>
          <w:szCs w:val="20"/>
          <w:lang w:val="en-AU" w:bidi="ar-SA"/>
        </w:rPr>
        <w:t xml:space="preserve">Note:  </w:t>
      </w:r>
    </w:p>
    <w:p w14:paraId="2DF36CC7" w14:textId="77777777" w:rsidR="00363C49" w:rsidRPr="00C366D2" w:rsidRDefault="00363C49" w:rsidP="00363C4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EA0EBA7" w14:textId="77777777" w:rsidR="00363C49" w:rsidRPr="00C366D2" w:rsidRDefault="00363C49" w:rsidP="00363C4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C366D2">
        <w:rPr>
          <w:sz w:val="20"/>
          <w:szCs w:val="20"/>
          <w:lang w:val="en-AU" w:bidi="ar-SA"/>
        </w:rPr>
        <w:t xml:space="preserve">This variation will be published in the Commonwealth of Australia Gazette No. </w:t>
      </w:r>
      <w:proofErr w:type="gramStart"/>
      <w:r w:rsidRPr="00C366D2">
        <w:rPr>
          <w:sz w:val="20"/>
          <w:szCs w:val="20"/>
          <w:lang w:val="en-AU" w:bidi="ar-SA"/>
        </w:rPr>
        <w:t xml:space="preserve">FSC </w:t>
      </w:r>
      <w:r w:rsidRPr="00C366D2">
        <w:rPr>
          <w:color w:val="FF0000"/>
          <w:sz w:val="20"/>
          <w:szCs w:val="20"/>
          <w:lang w:val="en-AU" w:bidi="ar-SA"/>
        </w:rPr>
        <w:t>XX on XX Month 20XX</w:t>
      </w:r>
      <w:r w:rsidRPr="00C366D2">
        <w:rPr>
          <w:sz w:val="20"/>
          <w:szCs w:val="20"/>
          <w:lang w:val="en-AU" w:bidi="ar-SA"/>
        </w:rPr>
        <w:t>.</w:t>
      </w:r>
      <w:proofErr w:type="gramEnd"/>
      <w:r w:rsidRPr="00C366D2">
        <w:rPr>
          <w:sz w:val="20"/>
          <w:szCs w:val="20"/>
          <w:lang w:val="en-AU" w:bidi="ar-SA"/>
        </w:rPr>
        <w:t xml:space="preserve"> This means that this date is the gazettal date for the purposes of clause 3 of the variation. </w:t>
      </w:r>
    </w:p>
    <w:p w14:paraId="2E7D4BF2" w14:textId="77777777" w:rsidR="00363C49" w:rsidRPr="00C366D2" w:rsidRDefault="00363C49" w:rsidP="00363C49">
      <w:pPr>
        <w:tabs>
          <w:tab w:val="left" w:pos="851"/>
        </w:tabs>
        <w:rPr>
          <w:sz w:val="20"/>
          <w:szCs w:val="20"/>
          <w:lang w:bidi="ar-SA"/>
        </w:rPr>
      </w:pPr>
    </w:p>
    <w:p w14:paraId="17D75A82" w14:textId="77777777" w:rsidR="00363C49" w:rsidRPr="00C366D2" w:rsidRDefault="00363C49" w:rsidP="00363C49">
      <w:pPr>
        <w:widowControl/>
        <w:rPr>
          <w:sz w:val="20"/>
          <w:szCs w:val="20"/>
          <w:lang w:bidi="ar-SA"/>
        </w:rPr>
      </w:pPr>
      <w:r w:rsidRPr="00C366D2">
        <w:rPr>
          <w:sz w:val="20"/>
          <w:szCs w:val="20"/>
          <w:lang w:bidi="ar-SA"/>
        </w:rPr>
        <w:br w:type="page"/>
      </w:r>
    </w:p>
    <w:p w14:paraId="3BB7EDAA" w14:textId="77777777" w:rsidR="00363C49" w:rsidRPr="00C366D2" w:rsidRDefault="00363C49" w:rsidP="00363C49">
      <w:pPr>
        <w:tabs>
          <w:tab w:val="left" w:pos="851"/>
        </w:tabs>
        <w:rPr>
          <w:b/>
          <w:sz w:val="20"/>
          <w:szCs w:val="20"/>
          <w:lang w:bidi="ar-SA"/>
        </w:rPr>
      </w:pPr>
      <w:r w:rsidRPr="00C366D2">
        <w:rPr>
          <w:b/>
          <w:sz w:val="20"/>
          <w:szCs w:val="20"/>
          <w:lang w:bidi="ar-SA"/>
        </w:rPr>
        <w:lastRenderedPageBreak/>
        <w:t>1</w:t>
      </w:r>
      <w:r w:rsidRPr="00C366D2">
        <w:rPr>
          <w:b/>
          <w:sz w:val="20"/>
          <w:szCs w:val="20"/>
          <w:lang w:bidi="ar-SA"/>
        </w:rPr>
        <w:tab/>
        <w:t>Name</w:t>
      </w:r>
    </w:p>
    <w:p w14:paraId="1A2574B1" w14:textId="77777777" w:rsidR="00363C49" w:rsidRPr="00C366D2" w:rsidRDefault="00363C49" w:rsidP="00363C49">
      <w:pPr>
        <w:tabs>
          <w:tab w:val="left" w:pos="1134"/>
        </w:tabs>
        <w:spacing w:before="120" w:after="120"/>
        <w:rPr>
          <w:rFonts w:cs="Arial"/>
          <w:iCs/>
          <w:sz w:val="20"/>
          <w:szCs w:val="22"/>
          <w:lang w:eastAsia="en-AU" w:bidi="ar-SA"/>
        </w:rPr>
      </w:pPr>
      <w:r w:rsidRPr="00C366D2">
        <w:rPr>
          <w:rFonts w:cs="Arial"/>
          <w:iCs/>
          <w:sz w:val="20"/>
          <w:szCs w:val="22"/>
          <w:lang w:eastAsia="en-AU" w:bidi="ar-SA"/>
        </w:rPr>
        <w:t xml:space="preserve">This instrument is the </w:t>
      </w:r>
      <w:r w:rsidRPr="00C366D2">
        <w:rPr>
          <w:rFonts w:cs="Arial"/>
          <w:i/>
          <w:iCs/>
          <w:sz w:val="20"/>
          <w:szCs w:val="22"/>
          <w:lang w:eastAsia="en-AU" w:bidi="ar-SA"/>
        </w:rPr>
        <w:t>Food Standards (Proposal P1039 – Microbiological Criteria for Infant Formula) Variation</w:t>
      </w:r>
      <w:r w:rsidRPr="00C366D2">
        <w:rPr>
          <w:rFonts w:cs="Arial"/>
          <w:iCs/>
          <w:sz w:val="20"/>
          <w:szCs w:val="22"/>
          <w:lang w:eastAsia="en-AU" w:bidi="ar-SA"/>
        </w:rPr>
        <w:t>.</w:t>
      </w:r>
    </w:p>
    <w:p w14:paraId="29FA6D4A" w14:textId="77777777" w:rsidR="00363C49" w:rsidRPr="00C366D2" w:rsidRDefault="00363C49" w:rsidP="00363C49">
      <w:pPr>
        <w:tabs>
          <w:tab w:val="left" w:pos="851"/>
        </w:tabs>
        <w:rPr>
          <w:b/>
          <w:sz w:val="20"/>
          <w:szCs w:val="20"/>
          <w:lang w:bidi="ar-SA"/>
        </w:rPr>
      </w:pPr>
      <w:r w:rsidRPr="00C366D2">
        <w:rPr>
          <w:b/>
          <w:sz w:val="20"/>
          <w:szCs w:val="20"/>
          <w:lang w:bidi="ar-SA"/>
        </w:rPr>
        <w:t>2</w:t>
      </w:r>
      <w:r w:rsidRPr="00C366D2">
        <w:rPr>
          <w:b/>
          <w:sz w:val="20"/>
          <w:szCs w:val="20"/>
          <w:lang w:bidi="ar-SA"/>
        </w:rPr>
        <w:tab/>
        <w:t xml:space="preserve">Variation to a Standard in the </w:t>
      </w:r>
      <w:r w:rsidRPr="00C366D2">
        <w:rPr>
          <w:b/>
          <w:i/>
          <w:sz w:val="20"/>
          <w:szCs w:val="20"/>
          <w:lang w:bidi="ar-SA"/>
        </w:rPr>
        <w:t>Australia New Zealand Food Standards Code</w:t>
      </w:r>
    </w:p>
    <w:p w14:paraId="073F7233" w14:textId="77777777" w:rsidR="00363C49" w:rsidRPr="00C366D2" w:rsidRDefault="00363C49" w:rsidP="00363C49">
      <w:pPr>
        <w:tabs>
          <w:tab w:val="left" w:pos="1134"/>
        </w:tabs>
        <w:spacing w:before="120" w:after="120"/>
        <w:ind w:left="1701" w:hanging="1701"/>
        <w:rPr>
          <w:rFonts w:cs="Arial"/>
          <w:iCs/>
          <w:sz w:val="20"/>
          <w:szCs w:val="22"/>
          <w:lang w:eastAsia="en-AU" w:bidi="ar-SA"/>
        </w:rPr>
      </w:pPr>
      <w:r w:rsidRPr="00C366D2">
        <w:rPr>
          <w:rFonts w:cs="Arial"/>
          <w:iCs/>
          <w:sz w:val="20"/>
          <w:szCs w:val="22"/>
          <w:lang w:eastAsia="en-AU" w:bidi="ar-SA"/>
        </w:rPr>
        <w:t xml:space="preserve">The Schedule varies Standards in the </w:t>
      </w:r>
      <w:r w:rsidRPr="00C366D2">
        <w:rPr>
          <w:rFonts w:cs="Arial"/>
          <w:i/>
          <w:iCs/>
          <w:sz w:val="20"/>
          <w:szCs w:val="22"/>
          <w:lang w:eastAsia="en-AU" w:bidi="ar-SA"/>
        </w:rPr>
        <w:t>Australia New Zealand Food Standards Code</w:t>
      </w:r>
      <w:r w:rsidRPr="00C366D2">
        <w:rPr>
          <w:rFonts w:cs="Arial"/>
          <w:iCs/>
          <w:sz w:val="20"/>
          <w:szCs w:val="22"/>
          <w:lang w:eastAsia="en-AU" w:bidi="ar-SA"/>
        </w:rPr>
        <w:t>.</w:t>
      </w:r>
    </w:p>
    <w:p w14:paraId="280CB87D" w14:textId="77777777" w:rsidR="00363C49" w:rsidRPr="00C366D2" w:rsidRDefault="00363C49" w:rsidP="00363C49">
      <w:pPr>
        <w:tabs>
          <w:tab w:val="left" w:pos="851"/>
        </w:tabs>
        <w:rPr>
          <w:b/>
          <w:sz w:val="20"/>
          <w:szCs w:val="20"/>
          <w:lang w:bidi="ar-SA"/>
        </w:rPr>
      </w:pPr>
      <w:r w:rsidRPr="00C366D2">
        <w:rPr>
          <w:b/>
          <w:sz w:val="20"/>
          <w:szCs w:val="20"/>
          <w:lang w:bidi="ar-SA"/>
        </w:rPr>
        <w:t>3</w:t>
      </w:r>
      <w:r w:rsidRPr="00C366D2">
        <w:rPr>
          <w:b/>
          <w:sz w:val="20"/>
          <w:szCs w:val="20"/>
          <w:lang w:bidi="ar-SA"/>
        </w:rPr>
        <w:tab/>
        <w:t>Commencement</w:t>
      </w:r>
    </w:p>
    <w:p w14:paraId="0B0E6277" w14:textId="77777777" w:rsidR="00363C49" w:rsidRPr="00C366D2" w:rsidRDefault="00363C49" w:rsidP="00363C49">
      <w:pPr>
        <w:tabs>
          <w:tab w:val="left" w:pos="1134"/>
        </w:tabs>
        <w:spacing w:before="120" w:after="120"/>
        <w:ind w:left="1701" w:hanging="1701"/>
        <w:rPr>
          <w:rFonts w:cs="Arial"/>
          <w:iCs/>
          <w:sz w:val="20"/>
          <w:szCs w:val="22"/>
          <w:lang w:eastAsia="en-AU" w:bidi="ar-SA"/>
        </w:rPr>
      </w:pPr>
      <w:r w:rsidRPr="00C366D2">
        <w:rPr>
          <w:rFonts w:cs="Arial"/>
          <w:iCs/>
          <w:sz w:val="20"/>
          <w:szCs w:val="22"/>
          <w:lang w:eastAsia="en-AU" w:bidi="ar-SA"/>
        </w:rPr>
        <w:t>The variation commences on the date of gazettal.</w:t>
      </w:r>
    </w:p>
    <w:p w14:paraId="41E4148C" w14:textId="77777777" w:rsidR="00363C49" w:rsidRPr="00C366D2" w:rsidRDefault="00363C49" w:rsidP="00363C49">
      <w:pPr>
        <w:tabs>
          <w:tab w:val="left" w:pos="851"/>
        </w:tabs>
        <w:rPr>
          <w:b/>
          <w:sz w:val="20"/>
          <w:szCs w:val="20"/>
          <w:lang w:bidi="ar-SA"/>
        </w:rPr>
      </w:pPr>
      <w:r w:rsidRPr="00C366D2">
        <w:rPr>
          <w:b/>
          <w:sz w:val="20"/>
          <w:szCs w:val="20"/>
          <w:lang w:bidi="ar-SA"/>
        </w:rPr>
        <w:t>4</w:t>
      </w:r>
      <w:r w:rsidRPr="00C366D2">
        <w:rPr>
          <w:b/>
          <w:sz w:val="20"/>
          <w:szCs w:val="20"/>
          <w:lang w:bidi="ar-SA"/>
        </w:rPr>
        <w:tab/>
        <w:t>Effect of the variations to the Code</w:t>
      </w:r>
    </w:p>
    <w:p w14:paraId="65F503DE" w14:textId="77777777" w:rsidR="00363C49" w:rsidRPr="00C366D2" w:rsidRDefault="00363C49" w:rsidP="00363C49">
      <w:pPr>
        <w:tabs>
          <w:tab w:val="left" w:pos="1134"/>
        </w:tabs>
        <w:spacing w:before="120" w:after="120"/>
        <w:ind w:left="1701" w:hanging="1701"/>
        <w:rPr>
          <w:rFonts w:cs="Arial"/>
          <w:iCs/>
          <w:sz w:val="20"/>
          <w:szCs w:val="22"/>
          <w:lang w:eastAsia="en-AU" w:bidi="ar-SA"/>
        </w:rPr>
      </w:pPr>
      <w:r w:rsidRPr="00C366D2">
        <w:rPr>
          <w:rFonts w:cs="Arial"/>
          <w:iCs/>
          <w:sz w:val="20"/>
          <w:szCs w:val="22"/>
          <w:lang w:eastAsia="en-AU" w:bidi="ar-SA"/>
        </w:rPr>
        <w:t>Section 1.1.1—9 of the Code</w:t>
      </w:r>
      <w:r w:rsidRPr="00C366D2">
        <w:rPr>
          <w:rFonts w:cs="Arial"/>
          <w:i/>
          <w:iCs/>
          <w:sz w:val="20"/>
          <w:szCs w:val="22"/>
          <w:lang w:eastAsia="en-AU" w:bidi="ar-SA"/>
        </w:rPr>
        <w:t xml:space="preserve"> </w:t>
      </w:r>
      <w:r w:rsidRPr="00C366D2">
        <w:rPr>
          <w:rFonts w:cs="Arial"/>
          <w:iCs/>
          <w:sz w:val="20"/>
          <w:szCs w:val="22"/>
          <w:lang w:eastAsia="en-AU" w:bidi="ar-SA"/>
        </w:rPr>
        <w:t>does not apply to the variations made by this instrument.</w:t>
      </w:r>
    </w:p>
    <w:p w14:paraId="02971AD1" w14:textId="77777777" w:rsidR="00363C49" w:rsidRPr="00C366D2" w:rsidRDefault="00363C49" w:rsidP="00363C49">
      <w:pPr>
        <w:tabs>
          <w:tab w:val="left" w:pos="851"/>
        </w:tabs>
        <w:jc w:val="center"/>
        <w:rPr>
          <w:b/>
          <w:sz w:val="20"/>
          <w:szCs w:val="20"/>
          <w:lang w:bidi="ar-SA"/>
        </w:rPr>
      </w:pPr>
      <w:r w:rsidRPr="00C366D2">
        <w:rPr>
          <w:b/>
          <w:sz w:val="20"/>
          <w:szCs w:val="20"/>
          <w:lang w:bidi="ar-SA"/>
        </w:rPr>
        <w:t>Schedule</w:t>
      </w:r>
    </w:p>
    <w:p w14:paraId="7F939D41" w14:textId="77777777" w:rsidR="00363C49" w:rsidRPr="00C366D2" w:rsidRDefault="00363C49" w:rsidP="00363C49">
      <w:pPr>
        <w:tabs>
          <w:tab w:val="left" w:pos="1134"/>
        </w:tabs>
        <w:spacing w:before="120" w:after="120"/>
        <w:rPr>
          <w:rFonts w:cs="Arial"/>
          <w:iCs/>
          <w:sz w:val="20"/>
          <w:szCs w:val="22"/>
          <w:lang w:eastAsia="en-AU" w:bidi="ar-SA"/>
        </w:rPr>
      </w:pPr>
      <w:r w:rsidRPr="00C366D2">
        <w:rPr>
          <w:rFonts w:cs="Arial"/>
          <w:b/>
          <w:iCs/>
          <w:sz w:val="20"/>
          <w:szCs w:val="22"/>
          <w:lang w:eastAsia="en-AU"/>
        </w:rPr>
        <w:t>[1]</w:t>
      </w:r>
      <w:r w:rsidRPr="00C366D2">
        <w:rPr>
          <w:rFonts w:cs="Arial"/>
          <w:b/>
          <w:iCs/>
          <w:sz w:val="20"/>
          <w:szCs w:val="22"/>
          <w:lang w:eastAsia="en-AU"/>
        </w:rPr>
        <w:tab/>
        <w:t xml:space="preserve">Standard 1.1.1 </w:t>
      </w:r>
      <w:r w:rsidRPr="00C366D2">
        <w:rPr>
          <w:rFonts w:cs="Arial"/>
          <w:iCs/>
          <w:sz w:val="20"/>
          <w:szCs w:val="22"/>
          <w:lang w:eastAsia="en-AU"/>
        </w:rPr>
        <w:t xml:space="preserve">is varied by </w:t>
      </w:r>
      <w:r w:rsidRPr="00C366D2">
        <w:rPr>
          <w:rFonts w:cs="Arial"/>
          <w:iCs/>
          <w:sz w:val="20"/>
          <w:szCs w:val="22"/>
          <w:lang w:eastAsia="en-AU" w:bidi="ar-SA"/>
        </w:rPr>
        <w:t xml:space="preserve">omitting </w:t>
      </w:r>
      <w:r>
        <w:rPr>
          <w:rFonts w:cs="Arial"/>
          <w:iCs/>
          <w:sz w:val="20"/>
          <w:szCs w:val="22"/>
          <w:lang w:eastAsia="en-AU" w:bidi="ar-SA"/>
        </w:rPr>
        <w:t>from subsection 1.1.1</w:t>
      </w:r>
      <w:r w:rsidRPr="00C366D2">
        <w:rPr>
          <w:rFonts w:cs="Arial"/>
          <w:iCs/>
          <w:sz w:val="20"/>
          <w:szCs w:val="22"/>
          <w:lang w:eastAsia="en-AU"/>
        </w:rPr>
        <w:t>—</w:t>
      </w:r>
      <w:r>
        <w:rPr>
          <w:rFonts w:cs="Arial"/>
          <w:iCs/>
          <w:sz w:val="20"/>
          <w:szCs w:val="22"/>
          <w:lang w:eastAsia="en-AU" w:bidi="ar-SA"/>
        </w:rPr>
        <w:t xml:space="preserve">2(2) </w:t>
      </w:r>
      <w:r w:rsidRPr="00C366D2">
        <w:rPr>
          <w:rFonts w:cs="Arial"/>
          <w:iCs/>
          <w:sz w:val="20"/>
          <w:szCs w:val="22"/>
          <w:lang w:eastAsia="en-AU" w:bidi="ar-SA"/>
        </w:rPr>
        <w:t>the words “Standard 1.6.1</w:t>
      </w:r>
      <w:r w:rsidRPr="00C366D2">
        <w:rPr>
          <w:rFonts w:cs="Arial"/>
          <w:iCs/>
          <w:sz w:val="20"/>
          <w:szCs w:val="22"/>
          <w:lang w:eastAsia="en-AU" w:bidi="ar-SA"/>
        </w:rPr>
        <w:tab/>
        <w:t>Microbiological limits in food”, substituting “Standard 1.6.1</w:t>
      </w:r>
      <w:r>
        <w:rPr>
          <w:rFonts w:cs="Arial"/>
          <w:iCs/>
          <w:sz w:val="20"/>
          <w:szCs w:val="22"/>
          <w:lang w:eastAsia="en-AU" w:bidi="ar-SA"/>
        </w:rPr>
        <w:t xml:space="preserve"> </w:t>
      </w:r>
      <w:r w:rsidRPr="00C366D2">
        <w:rPr>
          <w:rFonts w:cs="Arial"/>
          <w:iCs/>
          <w:sz w:val="20"/>
          <w:szCs w:val="22"/>
          <w:lang w:eastAsia="en-AU" w:bidi="ar-SA"/>
        </w:rPr>
        <w:t>Food safety microbiological criteria”</w:t>
      </w:r>
      <w:r>
        <w:rPr>
          <w:rFonts w:cs="Arial"/>
          <w:iCs/>
          <w:sz w:val="20"/>
          <w:szCs w:val="22"/>
          <w:lang w:eastAsia="en-AU" w:bidi="ar-SA"/>
        </w:rPr>
        <w:t>.</w:t>
      </w:r>
    </w:p>
    <w:p w14:paraId="5D04B5BB" w14:textId="77777777" w:rsidR="00363C49" w:rsidRPr="00C366D2" w:rsidRDefault="00363C49" w:rsidP="00363C49">
      <w:pPr>
        <w:tabs>
          <w:tab w:val="left" w:pos="1134"/>
        </w:tabs>
        <w:spacing w:before="120" w:after="120"/>
        <w:rPr>
          <w:rFonts w:cs="Arial"/>
          <w:iCs/>
          <w:sz w:val="20"/>
          <w:szCs w:val="22"/>
          <w:lang w:eastAsia="en-AU"/>
        </w:rPr>
      </w:pPr>
      <w:r w:rsidRPr="00C366D2">
        <w:rPr>
          <w:rFonts w:cs="Arial"/>
          <w:b/>
          <w:iCs/>
          <w:sz w:val="20"/>
          <w:szCs w:val="22"/>
          <w:lang w:eastAsia="en-AU"/>
        </w:rPr>
        <w:t>[2]</w:t>
      </w:r>
      <w:r w:rsidRPr="00C366D2">
        <w:rPr>
          <w:rFonts w:cs="Arial"/>
          <w:b/>
          <w:iCs/>
          <w:sz w:val="20"/>
          <w:szCs w:val="22"/>
          <w:lang w:eastAsia="en-AU"/>
        </w:rPr>
        <w:tab/>
        <w:t xml:space="preserve">Standard 1.1.2 </w:t>
      </w:r>
      <w:r w:rsidRPr="00C366D2">
        <w:rPr>
          <w:rFonts w:cs="Arial"/>
          <w:iCs/>
          <w:sz w:val="20"/>
          <w:szCs w:val="22"/>
          <w:lang w:eastAsia="en-AU"/>
        </w:rPr>
        <w:t>is varied by</w:t>
      </w:r>
      <w:r>
        <w:rPr>
          <w:rFonts w:cs="Arial"/>
          <w:iCs/>
          <w:sz w:val="20"/>
          <w:szCs w:val="22"/>
          <w:lang w:eastAsia="en-AU"/>
        </w:rPr>
        <w:t xml:space="preserve"> </w:t>
      </w:r>
      <w:r w:rsidRPr="00C366D2">
        <w:rPr>
          <w:rFonts w:cs="Arial"/>
          <w:iCs/>
          <w:sz w:val="20"/>
          <w:szCs w:val="22"/>
          <w:lang w:eastAsia="en-AU"/>
        </w:rPr>
        <w:t xml:space="preserve">omitting the definition of </w:t>
      </w:r>
      <w:r w:rsidRPr="00C366D2">
        <w:rPr>
          <w:rFonts w:cs="Arial"/>
          <w:b/>
          <w:i/>
          <w:iCs/>
          <w:sz w:val="20"/>
          <w:szCs w:val="22"/>
          <w:lang w:eastAsia="en-AU"/>
        </w:rPr>
        <w:t xml:space="preserve">SPC </w:t>
      </w:r>
      <w:r w:rsidRPr="00C366D2">
        <w:rPr>
          <w:rFonts w:cs="Arial"/>
          <w:iCs/>
          <w:sz w:val="20"/>
          <w:szCs w:val="22"/>
          <w:lang w:eastAsia="en-AU"/>
        </w:rPr>
        <w:t>from s</w:t>
      </w:r>
      <w:r>
        <w:rPr>
          <w:rFonts w:cs="Arial"/>
          <w:iCs/>
          <w:sz w:val="20"/>
          <w:szCs w:val="22"/>
          <w:lang w:eastAsia="en-AU"/>
        </w:rPr>
        <w:t>ubs</w:t>
      </w:r>
      <w:r w:rsidRPr="00C366D2">
        <w:rPr>
          <w:rFonts w:cs="Arial"/>
          <w:iCs/>
          <w:sz w:val="20"/>
          <w:szCs w:val="22"/>
          <w:lang w:eastAsia="en-AU"/>
        </w:rPr>
        <w:t>ection 1.1.2—2</w:t>
      </w:r>
      <w:r>
        <w:rPr>
          <w:rFonts w:cs="Arial"/>
          <w:iCs/>
          <w:sz w:val="20"/>
          <w:szCs w:val="22"/>
          <w:lang w:eastAsia="en-AU"/>
        </w:rPr>
        <w:t>(3)</w:t>
      </w:r>
      <w:r w:rsidRPr="00C366D2">
        <w:rPr>
          <w:rFonts w:cs="Arial"/>
          <w:iCs/>
          <w:sz w:val="20"/>
          <w:szCs w:val="22"/>
          <w:lang w:eastAsia="en-AU"/>
        </w:rPr>
        <w:t>, substituting</w:t>
      </w:r>
    </w:p>
    <w:p w14:paraId="18BCAF29" w14:textId="77777777" w:rsidR="00363C49" w:rsidRPr="00C366D2" w:rsidRDefault="00363C49" w:rsidP="00363C49">
      <w:pPr>
        <w:tabs>
          <w:tab w:val="left" w:pos="1134"/>
        </w:tabs>
        <w:spacing w:before="120" w:after="120"/>
        <w:ind w:left="1701"/>
        <w:rPr>
          <w:rFonts w:cs="Arial"/>
          <w:iCs/>
          <w:sz w:val="20"/>
          <w:szCs w:val="22"/>
          <w:lang w:eastAsia="en-AU" w:bidi="ar-SA"/>
        </w:rPr>
      </w:pPr>
      <w:r w:rsidRPr="009A7206">
        <w:rPr>
          <w:rFonts w:cs="Arial"/>
          <w:iCs/>
          <w:sz w:val="20"/>
          <w:szCs w:val="22"/>
          <w:lang w:eastAsia="en-AU" w:bidi="ar-SA"/>
        </w:rPr>
        <w:t>“</w:t>
      </w:r>
      <w:r w:rsidRPr="00C366D2">
        <w:rPr>
          <w:rFonts w:cs="Arial"/>
          <w:b/>
          <w:i/>
          <w:iCs/>
          <w:sz w:val="20"/>
          <w:szCs w:val="22"/>
          <w:lang w:eastAsia="en-AU" w:bidi="ar-SA"/>
        </w:rPr>
        <w:t>SPC</w:t>
      </w:r>
      <w:r w:rsidRPr="00C366D2">
        <w:rPr>
          <w:rFonts w:cs="Arial"/>
          <w:iCs/>
          <w:sz w:val="20"/>
          <w:szCs w:val="22"/>
          <w:lang w:eastAsia="en-AU" w:bidi="ar-SA"/>
        </w:rPr>
        <w:t xml:space="preserve"> means a standard plate count at 30</w:t>
      </w:r>
      <w:r w:rsidRPr="00C366D2">
        <w:rPr>
          <w:rFonts w:cs="Arial"/>
          <w:iCs/>
          <w:sz w:val="20"/>
          <w:szCs w:val="22"/>
          <w:lang w:eastAsia="en-AU" w:bidi="ar-SA"/>
        </w:rPr>
        <w:sym w:font="Symbol" w:char="F0B0"/>
      </w:r>
      <w:r w:rsidRPr="00C366D2">
        <w:rPr>
          <w:rFonts w:cs="Arial"/>
          <w:iCs/>
          <w:sz w:val="20"/>
          <w:szCs w:val="22"/>
          <w:lang w:eastAsia="en-AU" w:bidi="ar-SA"/>
        </w:rPr>
        <w:t>C with an incubation time of 72 hours.</w:t>
      </w:r>
      <w:r>
        <w:rPr>
          <w:rFonts w:cs="Arial"/>
          <w:iCs/>
          <w:sz w:val="20"/>
          <w:szCs w:val="22"/>
          <w:lang w:eastAsia="en-AU" w:bidi="ar-SA"/>
        </w:rPr>
        <w:t>”</w:t>
      </w:r>
    </w:p>
    <w:p w14:paraId="199884C6" w14:textId="77777777" w:rsidR="00363C49" w:rsidRPr="00C366D2" w:rsidRDefault="00363C49" w:rsidP="00363C49">
      <w:pPr>
        <w:tabs>
          <w:tab w:val="left" w:pos="1134"/>
        </w:tabs>
        <w:spacing w:before="120" w:after="120"/>
        <w:rPr>
          <w:rFonts w:cs="Arial"/>
          <w:iCs/>
          <w:sz w:val="20"/>
          <w:szCs w:val="22"/>
          <w:lang w:eastAsia="en-AU" w:bidi="ar-SA"/>
        </w:rPr>
      </w:pPr>
      <w:r w:rsidRPr="00C366D2">
        <w:rPr>
          <w:rFonts w:cs="Arial"/>
          <w:b/>
          <w:iCs/>
          <w:sz w:val="20"/>
          <w:szCs w:val="22"/>
          <w:lang w:eastAsia="en-AU"/>
        </w:rPr>
        <w:t>[3]</w:t>
      </w:r>
      <w:r w:rsidRPr="00C366D2">
        <w:rPr>
          <w:rFonts w:cs="Arial"/>
          <w:b/>
          <w:iCs/>
          <w:sz w:val="20"/>
          <w:szCs w:val="22"/>
          <w:lang w:eastAsia="en-AU"/>
        </w:rPr>
        <w:tab/>
        <w:t xml:space="preserve">Standard 1.6.1 </w:t>
      </w:r>
      <w:r w:rsidRPr="00C366D2">
        <w:rPr>
          <w:rFonts w:cs="Arial"/>
          <w:iCs/>
          <w:sz w:val="20"/>
          <w:szCs w:val="22"/>
          <w:lang w:eastAsia="en-AU"/>
        </w:rPr>
        <w:t>is varied by</w:t>
      </w:r>
      <w:r w:rsidRPr="00C366D2">
        <w:rPr>
          <w:rFonts w:cs="Arial"/>
          <w:iCs/>
          <w:sz w:val="20"/>
          <w:szCs w:val="22"/>
          <w:lang w:eastAsia="en-AU" w:bidi="ar-SA"/>
        </w:rPr>
        <w:t xml:space="preserve"> omitting the words “Microbiological limits in food” from the title of the Standard, substituting “Food safety microbiological criteria”</w:t>
      </w:r>
      <w:r>
        <w:rPr>
          <w:rFonts w:cs="Arial"/>
          <w:iCs/>
          <w:sz w:val="20"/>
          <w:szCs w:val="22"/>
          <w:lang w:eastAsia="en-AU" w:bidi="ar-SA"/>
        </w:rPr>
        <w:t>.</w:t>
      </w:r>
    </w:p>
    <w:p w14:paraId="0B2A6158" w14:textId="77777777" w:rsidR="00363C49" w:rsidRPr="00C366D2" w:rsidRDefault="00363C49" w:rsidP="00363C49">
      <w:pPr>
        <w:tabs>
          <w:tab w:val="left" w:pos="1134"/>
        </w:tabs>
        <w:spacing w:before="120" w:after="120"/>
        <w:ind w:left="1701" w:hanging="1701"/>
        <w:rPr>
          <w:rFonts w:cs="Arial"/>
          <w:iCs/>
          <w:sz w:val="20"/>
          <w:szCs w:val="22"/>
          <w:lang w:eastAsia="en-AU" w:bidi="ar-SA"/>
        </w:rPr>
      </w:pPr>
      <w:r w:rsidRPr="00C366D2">
        <w:rPr>
          <w:rFonts w:cs="Arial"/>
          <w:b/>
          <w:iCs/>
          <w:sz w:val="20"/>
          <w:szCs w:val="22"/>
          <w:lang w:eastAsia="en-AU"/>
        </w:rPr>
        <w:t>[4]</w:t>
      </w:r>
      <w:r w:rsidRPr="00C366D2">
        <w:rPr>
          <w:rFonts w:cs="Arial"/>
          <w:b/>
          <w:iCs/>
          <w:sz w:val="20"/>
          <w:szCs w:val="22"/>
          <w:lang w:eastAsia="en-AU"/>
        </w:rPr>
        <w:tab/>
        <w:t xml:space="preserve">Schedule 27 </w:t>
      </w:r>
      <w:r w:rsidRPr="00C366D2">
        <w:rPr>
          <w:rFonts w:cs="Arial"/>
          <w:iCs/>
          <w:sz w:val="20"/>
          <w:szCs w:val="22"/>
          <w:lang w:eastAsia="en-AU"/>
        </w:rPr>
        <w:t>is varied by</w:t>
      </w:r>
      <w:r w:rsidRPr="00C366D2">
        <w:rPr>
          <w:rFonts w:cs="Arial"/>
          <w:iCs/>
          <w:sz w:val="20"/>
          <w:szCs w:val="22"/>
          <w:lang w:eastAsia="en-AU" w:bidi="ar-SA"/>
        </w:rPr>
        <w:t xml:space="preserve"> </w:t>
      </w:r>
    </w:p>
    <w:p w14:paraId="73E53665" w14:textId="77777777" w:rsidR="00363C49" w:rsidRPr="00C366D2" w:rsidRDefault="00363C49" w:rsidP="00363C49">
      <w:pPr>
        <w:tabs>
          <w:tab w:val="left" w:pos="1134"/>
        </w:tabs>
        <w:spacing w:before="120" w:after="120"/>
        <w:ind w:left="1701" w:hanging="1701"/>
        <w:rPr>
          <w:rFonts w:cs="Arial"/>
          <w:iCs/>
          <w:sz w:val="20"/>
          <w:szCs w:val="22"/>
          <w:lang w:eastAsia="en-AU"/>
        </w:rPr>
      </w:pPr>
      <w:r w:rsidRPr="00C366D2">
        <w:rPr>
          <w:rFonts w:cs="Arial"/>
          <w:iCs/>
          <w:sz w:val="20"/>
          <w:szCs w:val="22"/>
          <w:lang w:eastAsia="en-AU"/>
        </w:rPr>
        <w:t>[4.1]</w:t>
      </w:r>
      <w:r w:rsidRPr="00C366D2">
        <w:rPr>
          <w:rFonts w:cs="Arial"/>
          <w:iCs/>
          <w:sz w:val="20"/>
          <w:szCs w:val="22"/>
          <w:lang w:eastAsia="en-AU"/>
        </w:rPr>
        <w:tab/>
        <w:t xml:space="preserve">omitting the note to section S27—2, substituting </w:t>
      </w:r>
    </w:p>
    <w:p w14:paraId="3B64C132" w14:textId="77777777" w:rsidR="00363C49" w:rsidRPr="00C366D2" w:rsidRDefault="00363C49" w:rsidP="00363C49">
      <w:pPr>
        <w:tabs>
          <w:tab w:val="left" w:pos="1134"/>
        </w:tabs>
        <w:spacing w:before="120" w:after="120"/>
        <w:ind w:left="851" w:hanging="851"/>
        <w:rPr>
          <w:rFonts w:cs="Arial"/>
          <w:iCs/>
          <w:sz w:val="16"/>
          <w:szCs w:val="22"/>
          <w:lang w:eastAsia="en-AU" w:bidi="ar-SA"/>
        </w:rPr>
      </w:pPr>
      <w:r w:rsidRPr="00C366D2">
        <w:rPr>
          <w:rFonts w:cs="Arial"/>
          <w:b/>
          <w:i/>
          <w:iCs/>
          <w:sz w:val="16"/>
          <w:szCs w:val="22"/>
          <w:lang w:eastAsia="en-AU" w:bidi="ar-SA"/>
        </w:rPr>
        <w:t>“Note</w:t>
      </w:r>
      <w:r w:rsidRPr="00C366D2">
        <w:rPr>
          <w:rFonts w:cs="Arial"/>
          <w:iCs/>
          <w:sz w:val="16"/>
          <w:szCs w:val="22"/>
          <w:lang w:eastAsia="en-AU" w:bidi="ar-SA"/>
        </w:rPr>
        <w:tab/>
        <w:t>In this Code (see section 1.1.2—2):</w:t>
      </w:r>
    </w:p>
    <w:p w14:paraId="2354626C" w14:textId="77777777" w:rsidR="00363C49" w:rsidRPr="00C366D2" w:rsidRDefault="00363C49" w:rsidP="00363C49">
      <w:pPr>
        <w:tabs>
          <w:tab w:val="left" w:pos="1701"/>
        </w:tabs>
        <w:spacing w:before="60" w:after="60"/>
        <w:ind w:left="2268" w:hanging="2268"/>
        <w:rPr>
          <w:rFonts w:cs="Arial"/>
          <w:b/>
          <w:i/>
          <w:sz w:val="16"/>
          <w:szCs w:val="18"/>
          <w:lang w:eastAsia="en-AU" w:bidi="ar-SA"/>
        </w:rPr>
      </w:pPr>
      <w:r w:rsidRPr="00C366D2">
        <w:rPr>
          <w:rFonts w:cs="Arial"/>
          <w:sz w:val="16"/>
          <w:szCs w:val="18"/>
          <w:lang w:eastAsia="en-AU" w:bidi="ar-SA"/>
        </w:rPr>
        <w:tab/>
      </w:r>
      <w:r w:rsidRPr="00C366D2">
        <w:rPr>
          <w:rFonts w:cs="Arial"/>
          <w:b/>
          <w:i/>
          <w:sz w:val="16"/>
          <w:szCs w:val="18"/>
          <w:lang w:eastAsia="en-AU" w:bidi="ar-SA"/>
        </w:rPr>
        <w:t>SPC</w:t>
      </w:r>
      <w:r w:rsidRPr="00C366D2">
        <w:rPr>
          <w:rFonts w:cs="Arial"/>
          <w:sz w:val="16"/>
          <w:szCs w:val="18"/>
          <w:lang w:eastAsia="en-AU" w:bidi="ar-SA"/>
        </w:rPr>
        <w:t xml:space="preserve"> means a standard plate count at 30</w:t>
      </w:r>
      <w:r w:rsidRPr="00C366D2">
        <w:rPr>
          <w:rFonts w:cs="Arial"/>
          <w:sz w:val="16"/>
          <w:szCs w:val="18"/>
          <w:lang w:eastAsia="en-AU" w:bidi="ar-SA"/>
        </w:rPr>
        <w:sym w:font="Symbol" w:char="F0B0"/>
      </w:r>
      <w:r w:rsidRPr="00C366D2">
        <w:rPr>
          <w:rFonts w:cs="Arial"/>
          <w:sz w:val="16"/>
          <w:szCs w:val="18"/>
          <w:lang w:eastAsia="en-AU" w:bidi="ar-SA"/>
        </w:rPr>
        <w:t>C with an incubation time of 72 hours.”</w:t>
      </w:r>
    </w:p>
    <w:p w14:paraId="7750991B" w14:textId="77777777" w:rsidR="00363C49" w:rsidRPr="00C366D2" w:rsidRDefault="00363C49" w:rsidP="00363C49">
      <w:pPr>
        <w:tabs>
          <w:tab w:val="left" w:pos="1134"/>
        </w:tabs>
        <w:spacing w:before="120" w:after="120"/>
        <w:ind w:left="1701" w:hanging="1701"/>
        <w:rPr>
          <w:rFonts w:cs="Arial"/>
          <w:iCs/>
          <w:sz w:val="20"/>
          <w:szCs w:val="22"/>
          <w:lang w:eastAsia="en-AU"/>
        </w:rPr>
      </w:pPr>
      <w:r w:rsidRPr="00C366D2">
        <w:rPr>
          <w:rFonts w:cs="Arial"/>
          <w:iCs/>
          <w:sz w:val="20"/>
          <w:szCs w:val="22"/>
          <w:lang w:eastAsia="en-AU"/>
        </w:rPr>
        <w:t>[4.2]</w:t>
      </w:r>
      <w:r w:rsidRPr="00C366D2">
        <w:rPr>
          <w:rFonts w:cs="Arial"/>
          <w:iCs/>
          <w:sz w:val="20"/>
          <w:szCs w:val="22"/>
          <w:lang w:eastAsia="en-AU"/>
        </w:rPr>
        <w:tab/>
        <w:t>omitting section S27—3, substituting</w:t>
      </w:r>
    </w:p>
    <w:p w14:paraId="6A0E92C6" w14:textId="77777777" w:rsidR="00363C49" w:rsidRPr="00C366D2" w:rsidRDefault="00363C49" w:rsidP="00363C49">
      <w:pPr>
        <w:tabs>
          <w:tab w:val="left" w:pos="1701"/>
        </w:tabs>
        <w:spacing w:before="120" w:after="120"/>
        <w:ind w:left="1701" w:hanging="1701"/>
        <w:rPr>
          <w:rFonts w:cs="Arial"/>
          <w:b/>
          <w:iCs/>
          <w:sz w:val="20"/>
          <w:szCs w:val="22"/>
          <w:lang w:eastAsia="en-AU"/>
        </w:rPr>
      </w:pPr>
      <w:r w:rsidRPr="00C366D2">
        <w:rPr>
          <w:rFonts w:cs="Arial"/>
          <w:iCs/>
          <w:sz w:val="20"/>
          <w:szCs w:val="22"/>
          <w:lang w:eastAsia="en-AU" w:bidi="ar-SA"/>
        </w:rPr>
        <w:t>“</w:t>
      </w:r>
      <w:r w:rsidRPr="00C366D2">
        <w:rPr>
          <w:rFonts w:cs="Arial"/>
          <w:b/>
          <w:iCs/>
          <w:sz w:val="20"/>
          <w:szCs w:val="22"/>
          <w:lang w:eastAsia="en-AU" w:bidi="ar-SA"/>
        </w:rPr>
        <w:t>S27—3</w:t>
      </w:r>
      <w:r w:rsidRPr="00C366D2">
        <w:rPr>
          <w:rFonts w:cs="Arial"/>
          <w:b/>
          <w:iCs/>
          <w:sz w:val="20"/>
          <w:szCs w:val="22"/>
          <w:lang w:eastAsia="en-AU" w:bidi="ar-SA"/>
        </w:rPr>
        <w:tab/>
        <w:t>Omitted</w:t>
      </w:r>
      <w:r w:rsidRPr="00C366D2">
        <w:rPr>
          <w:rFonts w:cs="Arial"/>
          <w:iCs/>
          <w:sz w:val="20"/>
          <w:szCs w:val="22"/>
          <w:lang w:eastAsia="en-AU" w:bidi="ar-SA"/>
        </w:rPr>
        <w:t>”</w:t>
      </w:r>
    </w:p>
    <w:p w14:paraId="4C219A68" w14:textId="77777777" w:rsidR="00363C49" w:rsidRPr="00C366D2" w:rsidRDefault="00363C49" w:rsidP="00363C49">
      <w:pPr>
        <w:tabs>
          <w:tab w:val="left" w:pos="1134"/>
        </w:tabs>
        <w:spacing w:before="120" w:after="120"/>
        <w:rPr>
          <w:rFonts w:cs="Arial"/>
          <w:iCs/>
          <w:sz w:val="20"/>
          <w:szCs w:val="22"/>
          <w:lang w:eastAsia="en-AU" w:bidi="ar-SA"/>
        </w:rPr>
      </w:pPr>
      <w:r w:rsidRPr="00C366D2">
        <w:rPr>
          <w:rFonts w:cs="Arial"/>
          <w:iCs/>
          <w:sz w:val="20"/>
          <w:szCs w:val="22"/>
          <w:lang w:eastAsia="en-AU" w:bidi="ar-SA"/>
        </w:rPr>
        <w:t>[4.3]</w:t>
      </w:r>
      <w:r w:rsidRPr="00C366D2">
        <w:rPr>
          <w:rFonts w:cs="Arial"/>
          <w:iCs/>
          <w:sz w:val="20"/>
          <w:szCs w:val="22"/>
          <w:lang w:eastAsia="en-AU" w:bidi="ar-SA"/>
        </w:rPr>
        <w:tab/>
        <w:t>omitting the following from the table to section S27—4</w:t>
      </w:r>
    </w:p>
    <w:p w14:paraId="402D77E0" w14:textId="77777777" w:rsidR="00363C49" w:rsidRPr="00C366D2" w:rsidRDefault="00363C49" w:rsidP="00363C49">
      <w:pPr>
        <w:tabs>
          <w:tab w:val="left" w:pos="1134"/>
        </w:tabs>
        <w:spacing w:before="120" w:after="120"/>
        <w:ind w:left="1701" w:hanging="1701"/>
        <w:rPr>
          <w:rFonts w:cs="Arial"/>
          <w:iCs/>
          <w:sz w:val="20"/>
          <w:szCs w:val="22"/>
          <w:lang w:eastAsia="en-AU" w:bidi="ar-SA"/>
        </w:rPr>
      </w:pPr>
      <w:r w:rsidRPr="00C366D2">
        <w:rPr>
          <w:rFonts w:cs="Arial"/>
          <w:iCs/>
          <w:sz w:val="20"/>
          <w:szCs w:val="22"/>
          <w:lang w:eastAsia="en-AU" w:bidi="ar-SA"/>
        </w:rPr>
        <w:t>“</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63C49" w:rsidRPr="00C366D2" w14:paraId="1ADA6F3E" w14:textId="77777777" w:rsidTr="00587247">
        <w:trPr>
          <w:cantSplit/>
          <w:jc w:val="center"/>
        </w:trPr>
        <w:tc>
          <w:tcPr>
            <w:tcW w:w="9072" w:type="dxa"/>
            <w:gridSpan w:val="5"/>
          </w:tcPr>
          <w:p w14:paraId="2B5C9C06" w14:textId="77777777" w:rsidR="00363C49" w:rsidRPr="00C366D2" w:rsidRDefault="00363C49" w:rsidP="00587247">
            <w:pPr>
              <w:keepNext/>
              <w:keepLines/>
              <w:widowControl/>
              <w:spacing w:before="60" w:after="60"/>
              <w:rPr>
                <w:rFonts w:cs="Arial"/>
                <w:b/>
                <w:i/>
                <w:sz w:val="18"/>
                <w:szCs w:val="22"/>
                <w:lang w:eastAsia="en-AU" w:bidi="ar-SA"/>
              </w:rPr>
            </w:pPr>
            <w:r w:rsidRPr="00C366D2">
              <w:rPr>
                <w:rFonts w:cs="Arial"/>
                <w:b/>
                <w:sz w:val="18"/>
                <w:szCs w:val="22"/>
                <w:lang w:eastAsia="en-AU" w:bidi="ar-SA"/>
              </w:rPr>
              <w:t>Powdered infant formula products</w:t>
            </w:r>
          </w:p>
        </w:tc>
      </w:tr>
      <w:tr w:rsidR="00363C49" w:rsidRPr="00C366D2" w14:paraId="0A00EB61" w14:textId="77777777" w:rsidTr="00587247">
        <w:trPr>
          <w:cantSplit/>
          <w:jc w:val="center"/>
        </w:trPr>
        <w:tc>
          <w:tcPr>
            <w:tcW w:w="1954" w:type="dxa"/>
          </w:tcPr>
          <w:p w14:paraId="48EA67ED"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i/>
                <w:sz w:val="18"/>
                <w:szCs w:val="20"/>
                <w:lang w:eastAsia="en-AU" w:bidi="ar-SA"/>
              </w:rPr>
              <w:t>Bacillus cereus</w:t>
            </w:r>
          </w:p>
        </w:tc>
        <w:tc>
          <w:tcPr>
            <w:tcW w:w="1733" w:type="dxa"/>
          </w:tcPr>
          <w:p w14:paraId="63A1D719"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5</w:t>
            </w:r>
          </w:p>
        </w:tc>
        <w:tc>
          <w:tcPr>
            <w:tcW w:w="1594" w:type="dxa"/>
          </w:tcPr>
          <w:p w14:paraId="52C5B86A"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0</w:t>
            </w:r>
          </w:p>
        </w:tc>
        <w:tc>
          <w:tcPr>
            <w:tcW w:w="2091" w:type="dxa"/>
          </w:tcPr>
          <w:p w14:paraId="0640AEA7"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2"/>
                <w:lang w:eastAsia="en-AU" w:bidi="ar-SA"/>
              </w:rPr>
              <w:t>10</w:t>
            </w:r>
            <w:r w:rsidRPr="00C366D2">
              <w:rPr>
                <w:rFonts w:cs="Arial"/>
                <w:sz w:val="18"/>
                <w:szCs w:val="22"/>
                <w:vertAlign w:val="superscript"/>
                <w:lang w:eastAsia="en-AU" w:bidi="ar-SA"/>
              </w:rPr>
              <w:t>2</w:t>
            </w:r>
            <w:r w:rsidRPr="00C366D2">
              <w:rPr>
                <w:rFonts w:cs="Arial"/>
                <w:sz w:val="18"/>
                <w:szCs w:val="22"/>
                <w:lang w:eastAsia="en-AU" w:bidi="ar-SA"/>
              </w:rPr>
              <w:t>/g</w:t>
            </w:r>
          </w:p>
        </w:tc>
        <w:tc>
          <w:tcPr>
            <w:tcW w:w="1700" w:type="dxa"/>
          </w:tcPr>
          <w:p w14:paraId="7A78DE9B" w14:textId="77777777" w:rsidR="00363C49" w:rsidRPr="00C366D2" w:rsidRDefault="00363C49" w:rsidP="00587247">
            <w:pPr>
              <w:keepLines/>
              <w:widowControl/>
              <w:tabs>
                <w:tab w:val="right" w:pos="3969"/>
              </w:tabs>
              <w:spacing w:before="60" w:after="60"/>
              <w:rPr>
                <w:rFonts w:cs="Arial"/>
                <w:sz w:val="18"/>
                <w:szCs w:val="20"/>
                <w:lang w:eastAsia="en-AU" w:bidi="ar-SA"/>
              </w:rPr>
            </w:pPr>
          </w:p>
        </w:tc>
      </w:tr>
      <w:tr w:rsidR="00363C49" w:rsidRPr="00C366D2" w14:paraId="1B233B70" w14:textId="77777777" w:rsidTr="00587247">
        <w:trPr>
          <w:cantSplit/>
          <w:jc w:val="center"/>
        </w:trPr>
        <w:tc>
          <w:tcPr>
            <w:tcW w:w="1954" w:type="dxa"/>
          </w:tcPr>
          <w:p w14:paraId="6052A082"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Coagulase-positive staphylococci</w:t>
            </w:r>
          </w:p>
        </w:tc>
        <w:tc>
          <w:tcPr>
            <w:tcW w:w="1733" w:type="dxa"/>
          </w:tcPr>
          <w:p w14:paraId="5CE484E0"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5</w:t>
            </w:r>
          </w:p>
        </w:tc>
        <w:tc>
          <w:tcPr>
            <w:tcW w:w="1594" w:type="dxa"/>
          </w:tcPr>
          <w:p w14:paraId="45CA638F"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w:t>
            </w:r>
          </w:p>
        </w:tc>
        <w:tc>
          <w:tcPr>
            <w:tcW w:w="2091" w:type="dxa"/>
          </w:tcPr>
          <w:p w14:paraId="005A4B28"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2"/>
                <w:lang w:eastAsia="en-AU" w:bidi="ar-SA"/>
              </w:rPr>
              <w:t>not detected in 1 g</w:t>
            </w:r>
          </w:p>
        </w:tc>
        <w:tc>
          <w:tcPr>
            <w:tcW w:w="1700" w:type="dxa"/>
          </w:tcPr>
          <w:p w14:paraId="2301E7B8"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10/g</w:t>
            </w:r>
          </w:p>
        </w:tc>
      </w:tr>
      <w:tr w:rsidR="00363C49" w:rsidRPr="00C366D2" w14:paraId="1692FC38" w14:textId="77777777" w:rsidTr="00587247">
        <w:trPr>
          <w:cantSplit/>
          <w:jc w:val="center"/>
        </w:trPr>
        <w:tc>
          <w:tcPr>
            <w:tcW w:w="1954" w:type="dxa"/>
          </w:tcPr>
          <w:p w14:paraId="31AC0564"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Coliforms</w:t>
            </w:r>
          </w:p>
        </w:tc>
        <w:tc>
          <w:tcPr>
            <w:tcW w:w="1733" w:type="dxa"/>
          </w:tcPr>
          <w:p w14:paraId="2F578EAB"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5</w:t>
            </w:r>
          </w:p>
        </w:tc>
        <w:tc>
          <w:tcPr>
            <w:tcW w:w="1594" w:type="dxa"/>
          </w:tcPr>
          <w:p w14:paraId="4D08F895"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2</w:t>
            </w:r>
          </w:p>
        </w:tc>
        <w:tc>
          <w:tcPr>
            <w:tcW w:w="2091" w:type="dxa"/>
          </w:tcPr>
          <w:p w14:paraId="6C354A63"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less than 3/g</w:t>
            </w:r>
          </w:p>
        </w:tc>
        <w:tc>
          <w:tcPr>
            <w:tcW w:w="1700" w:type="dxa"/>
          </w:tcPr>
          <w:p w14:paraId="5373A522"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10/g</w:t>
            </w:r>
          </w:p>
        </w:tc>
      </w:tr>
      <w:tr w:rsidR="00363C49" w:rsidRPr="00C366D2" w14:paraId="624ABB9E" w14:textId="77777777" w:rsidTr="00587247">
        <w:trPr>
          <w:cantSplit/>
          <w:jc w:val="center"/>
        </w:trPr>
        <w:tc>
          <w:tcPr>
            <w:tcW w:w="1954" w:type="dxa"/>
          </w:tcPr>
          <w:p w14:paraId="1FE2B548"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i/>
                <w:sz w:val="18"/>
                <w:szCs w:val="20"/>
                <w:lang w:eastAsia="en-AU" w:bidi="ar-SA"/>
              </w:rPr>
              <w:t>Salmonella</w:t>
            </w:r>
          </w:p>
        </w:tc>
        <w:tc>
          <w:tcPr>
            <w:tcW w:w="1733" w:type="dxa"/>
          </w:tcPr>
          <w:p w14:paraId="575142D4"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10</w:t>
            </w:r>
          </w:p>
        </w:tc>
        <w:tc>
          <w:tcPr>
            <w:tcW w:w="1594" w:type="dxa"/>
          </w:tcPr>
          <w:p w14:paraId="637D9748"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0</w:t>
            </w:r>
          </w:p>
        </w:tc>
        <w:tc>
          <w:tcPr>
            <w:tcW w:w="2091" w:type="dxa"/>
          </w:tcPr>
          <w:p w14:paraId="64217DF2"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not detected in 25 g</w:t>
            </w:r>
          </w:p>
        </w:tc>
        <w:tc>
          <w:tcPr>
            <w:tcW w:w="1700" w:type="dxa"/>
          </w:tcPr>
          <w:p w14:paraId="73E9901E" w14:textId="77777777" w:rsidR="00363C49" w:rsidRPr="00C366D2" w:rsidRDefault="00363C49" w:rsidP="00587247">
            <w:pPr>
              <w:keepLines/>
              <w:widowControl/>
              <w:tabs>
                <w:tab w:val="right" w:pos="3969"/>
              </w:tabs>
              <w:spacing w:before="60" w:after="60"/>
              <w:rPr>
                <w:rFonts w:cs="Arial"/>
                <w:sz w:val="18"/>
                <w:szCs w:val="20"/>
                <w:lang w:eastAsia="en-AU" w:bidi="ar-SA"/>
              </w:rPr>
            </w:pPr>
          </w:p>
        </w:tc>
      </w:tr>
      <w:tr w:rsidR="00363C49" w:rsidRPr="00C366D2" w14:paraId="253B7C89" w14:textId="77777777" w:rsidTr="00587247">
        <w:trPr>
          <w:cantSplit/>
          <w:jc w:val="center"/>
        </w:trPr>
        <w:tc>
          <w:tcPr>
            <w:tcW w:w="1954" w:type="dxa"/>
          </w:tcPr>
          <w:p w14:paraId="680C8BD1"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SPC</w:t>
            </w:r>
          </w:p>
        </w:tc>
        <w:tc>
          <w:tcPr>
            <w:tcW w:w="1733" w:type="dxa"/>
          </w:tcPr>
          <w:p w14:paraId="445CAE96"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5</w:t>
            </w:r>
          </w:p>
        </w:tc>
        <w:tc>
          <w:tcPr>
            <w:tcW w:w="1594" w:type="dxa"/>
          </w:tcPr>
          <w:p w14:paraId="32A28C48"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2</w:t>
            </w:r>
          </w:p>
        </w:tc>
        <w:tc>
          <w:tcPr>
            <w:tcW w:w="2091" w:type="dxa"/>
          </w:tcPr>
          <w:p w14:paraId="20EC6D31"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2"/>
                <w:lang w:eastAsia="en-AU" w:bidi="ar-SA"/>
              </w:rPr>
              <w:t>10</w:t>
            </w:r>
            <w:r w:rsidRPr="00C366D2">
              <w:rPr>
                <w:rFonts w:cs="Times"/>
                <w:position w:val="6"/>
                <w:sz w:val="18"/>
                <w:szCs w:val="22"/>
                <w:vertAlign w:val="superscript"/>
                <w:lang w:eastAsia="en-AU" w:bidi="ar-SA"/>
              </w:rPr>
              <w:t>3</w:t>
            </w:r>
            <w:r w:rsidRPr="00C366D2">
              <w:rPr>
                <w:rFonts w:cs="Arial"/>
                <w:sz w:val="18"/>
                <w:szCs w:val="22"/>
                <w:lang w:eastAsia="en-AU" w:bidi="ar-SA"/>
              </w:rPr>
              <w:t>/g</w:t>
            </w:r>
          </w:p>
        </w:tc>
        <w:tc>
          <w:tcPr>
            <w:tcW w:w="1700" w:type="dxa"/>
          </w:tcPr>
          <w:p w14:paraId="2925ABC5"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10</w:t>
            </w:r>
            <w:r w:rsidRPr="00C366D2">
              <w:rPr>
                <w:rFonts w:cs="Times"/>
                <w:position w:val="6"/>
                <w:sz w:val="18"/>
                <w:szCs w:val="20"/>
                <w:vertAlign w:val="superscript"/>
                <w:lang w:eastAsia="en-AU" w:bidi="ar-SA"/>
              </w:rPr>
              <w:t>4</w:t>
            </w:r>
            <w:r w:rsidRPr="00C366D2">
              <w:rPr>
                <w:rFonts w:cs="Arial"/>
                <w:sz w:val="18"/>
                <w:szCs w:val="20"/>
                <w:lang w:eastAsia="en-AU" w:bidi="ar-SA"/>
              </w:rPr>
              <w:t>/g</w:t>
            </w:r>
          </w:p>
        </w:tc>
      </w:tr>
    </w:tbl>
    <w:p w14:paraId="762550AF" w14:textId="77777777" w:rsidR="00363C49" w:rsidRPr="00C366D2" w:rsidRDefault="00363C49" w:rsidP="00363C49">
      <w:pPr>
        <w:tabs>
          <w:tab w:val="left" w:pos="1134"/>
        </w:tabs>
        <w:spacing w:before="120" w:after="120"/>
        <w:jc w:val="right"/>
        <w:rPr>
          <w:rFonts w:cs="Arial"/>
          <w:iCs/>
          <w:sz w:val="20"/>
          <w:szCs w:val="22"/>
          <w:lang w:eastAsia="en-AU" w:bidi="ar-SA"/>
        </w:rPr>
      </w:pPr>
      <w:r w:rsidRPr="00C366D2">
        <w:rPr>
          <w:rFonts w:cs="Arial"/>
          <w:iCs/>
          <w:sz w:val="20"/>
          <w:szCs w:val="22"/>
          <w:lang w:eastAsia="en-AU" w:bidi="ar-SA"/>
        </w:rPr>
        <w:t>”</w:t>
      </w:r>
    </w:p>
    <w:p w14:paraId="10953D44" w14:textId="77777777" w:rsidR="00363C49" w:rsidRPr="00C366D2" w:rsidRDefault="00363C49" w:rsidP="00363C49">
      <w:pPr>
        <w:tabs>
          <w:tab w:val="left" w:pos="1134"/>
        </w:tabs>
        <w:spacing w:before="120" w:after="120"/>
        <w:rPr>
          <w:rFonts w:cs="Arial"/>
          <w:iCs/>
          <w:sz w:val="20"/>
          <w:szCs w:val="22"/>
          <w:lang w:eastAsia="en-AU" w:bidi="ar-SA"/>
        </w:rPr>
      </w:pPr>
      <w:proofErr w:type="gramStart"/>
      <w:r w:rsidRPr="00C366D2">
        <w:rPr>
          <w:rFonts w:cs="Arial"/>
          <w:iCs/>
          <w:sz w:val="20"/>
          <w:szCs w:val="22"/>
          <w:lang w:eastAsia="en-AU" w:bidi="ar-SA"/>
        </w:rPr>
        <w:t>substituting</w:t>
      </w:r>
      <w:proofErr w:type="gramEnd"/>
      <w:r w:rsidRPr="00C366D2">
        <w:rPr>
          <w:rFonts w:cs="Arial"/>
          <w:iCs/>
          <w:sz w:val="20"/>
          <w:szCs w:val="22"/>
          <w:lang w:eastAsia="en-AU" w:bidi="ar-SA"/>
        </w:rPr>
        <w:t xml:space="preserve"> </w:t>
      </w:r>
    </w:p>
    <w:p w14:paraId="485C1E90" w14:textId="77777777" w:rsidR="00363C49" w:rsidRPr="00C366D2" w:rsidRDefault="00363C49" w:rsidP="00363C49">
      <w:pPr>
        <w:tabs>
          <w:tab w:val="left" w:pos="1134"/>
        </w:tabs>
        <w:spacing w:before="120" w:after="120"/>
        <w:rPr>
          <w:rFonts w:cs="Arial"/>
          <w:iCs/>
          <w:sz w:val="20"/>
          <w:szCs w:val="22"/>
          <w:lang w:eastAsia="en-AU" w:bidi="ar-SA"/>
        </w:rPr>
      </w:pPr>
      <w:r w:rsidRPr="00C366D2">
        <w:rPr>
          <w:rFonts w:cs="Arial"/>
          <w:iCs/>
          <w:sz w:val="20"/>
          <w:szCs w:val="22"/>
          <w:lang w:eastAsia="en-AU" w:bidi="ar-SA"/>
        </w:rPr>
        <w:t>“</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63C49" w:rsidRPr="00C366D2" w14:paraId="46F7D2A0" w14:textId="77777777" w:rsidTr="00587247">
        <w:trPr>
          <w:cantSplit/>
          <w:jc w:val="center"/>
        </w:trPr>
        <w:tc>
          <w:tcPr>
            <w:tcW w:w="9072" w:type="dxa"/>
            <w:gridSpan w:val="5"/>
          </w:tcPr>
          <w:p w14:paraId="110D5162" w14:textId="77777777" w:rsidR="00363C49" w:rsidRPr="00C366D2" w:rsidRDefault="00363C49" w:rsidP="00587247">
            <w:pPr>
              <w:keepNext/>
              <w:keepLines/>
              <w:widowControl/>
              <w:spacing w:before="60" w:after="60"/>
              <w:rPr>
                <w:rFonts w:cs="Arial"/>
                <w:b/>
                <w:i/>
                <w:sz w:val="18"/>
                <w:szCs w:val="22"/>
                <w:lang w:eastAsia="en-AU" w:bidi="ar-SA"/>
              </w:rPr>
            </w:pPr>
            <w:r w:rsidRPr="00C366D2">
              <w:rPr>
                <w:rFonts w:cs="Arial"/>
                <w:b/>
                <w:sz w:val="18"/>
                <w:szCs w:val="22"/>
                <w:lang w:eastAsia="en-AU" w:bidi="ar-SA"/>
              </w:rPr>
              <w:t>Powdered infant formula*</w:t>
            </w:r>
          </w:p>
        </w:tc>
      </w:tr>
      <w:tr w:rsidR="00363C49" w:rsidRPr="00C366D2" w14:paraId="563C1F73" w14:textId="77777777" w:rsidTr="00587247">
        <w:trPr>
          <w:cantSplit/>
          <w:jc w:val="center"/>
        </w:trPr>
        <w:tc>
          <w:tcPr>
            <w:tcW w:w="1954" w:type="dxa"/>
          </w:tcPr>
          <w:p w14:paraId="2C581C8B" w14:textId="77777777" w:rsidR="00363C49" w:rsidRPr="00C366D2" w:rsidRDefault="00363C49" w:rsidP="00587247">
            <w:pPr>
              <w:keepLines/>
              <w:widowControl/>
              <w:tabs>
                <w:tab w:val="right" w:pos="3969"/>
              </w:tabs>
              <w:spacing w:before="60" w:after="60"/>
              <w:rPr>
                <w:rFonts w:cs="Arial"/>
                <w:i/>
                <w:sz w:val="18"/>
                <w:szCs w:val="20"/>
                <w:lang w:eastAsia="en-AU" w:bidi="ar-SA"/>
              </w:rPr>
            </w:pPr>
            <w:proofErr w:type="spellStart"/>
            <w:r w:rsidRPr="00C366D2">
              <w:rPr>
                <w:rFonts w:cs="Arial"/>
                <w:i/>
                <w:sz w:val="18"/>
                <w:szCs w:val="20"/>
                <w:lang w:eastAsia="en-AU" w:bidi="ar-SA"/>
              </w:rPr>
              <w:t>Cronobacter</w:t>
            </w:r>
            <w:proofErr w:type="spellEnd"/>
          </w:p>
        </w:tc>
        <w:tc>
          <w:tcPr>
            <w:tcW w:w="1733" w:type="dxa"/>
          </w:tcPr>
          <w:p w14:paraId="4B4BC0DC"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30</w:t>
            </w:r>
          </w:p>
        </w:tc>
        <w:tc>
          <w:tcPr>
            <w:tcW w:w="1594" w:type="dxa"/>
          </w:tcPr>
          <w:p w14:paraId="343292E3"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0</w:t>
            </w:r>
          </w:p>
        </w:tc>
        <w:tc>
          <w:tcPr>
            <w:tcW w:w="2091" w:type="dxa"/>
          </w:tcPr>
          <w:p w14:paraId="1339D593"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not detected in 10g</w:t>
            </w:r>
          </w:p>
        </w:tc>
        <w:tc>
          <w:tcPr>
            <w:tcW w:w="1700" w:type="dxa"/>
          </w:tcPr>
          <w:p w14:paraId="2CC32A57" w14:textId="77777777" w:rsidR="00363C49" w:rsidRPr="00C366D2" w:rsidRDefault="00363C49" w:rsidP="00587247">
            <w:pPr>
              <w:keepLines/>
              <w:widowControl/>
              <w:tabs>
                <w:tab w:val="right" w:pos="3969"/>
              </w:tabs>
              <w:spacing w:before="60" w:after="60"/>
              <w:rPr>
                <w:rFonts w:cs="Arial"/>
                <w:sz w:val="18"/>
                <w:szCs w:val="20"/>
                <w:lang w:eastAsia="en-AU" w:bidi="ar-SA"/>
              </w:rPr>
            </w:pPr>
          </w:p>
        </w:tc>
      </w:tr>
      <w:tr w:rsidR="00363C49" w:rsidRPr="00C366D2" w14:paraId="4BDD4405" w14:textId="77777777" w:rsidTr="00587247">
        <w:trPr>
          <w:cantSplit/>
          <w:jc w:val="center"/>
        </w:trPr>
        <w:tc>
          <w:tcPr>
            <w:tcW w:w="1954" w:type="dxa"/>
          </w:tcPr>
          <w:p w14:paraId="5B8F626E"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i/>
                <w:sz w:val="18"/>
                <w:szCs w:val="20"/>
                <w:lang w:eastAsia="en-AU" w:bidi="ar-SA"/>
              </w:rPr>
              <w:t>Salmonella</w:t>
            </w:r>
          </w:p>
        </w:tc>
        <w:tc>
          <w:tcPr>
            <w:tcW w:w="1733" w:type="dxa"/>
          </w:tcPr>
          <w:p w14:paraId="26C00621"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60</w:t>
            </w:r>
          </w:p>
        </w:tc>
        <w:tc>
          <w:tcPr>
            <w:tcW w:w="1594" w:type="dxa"/>
          </w:tcPr>
          <w:p w14:paraId="2FB7F69B"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0</w:t>
            </w:r>
          </w:p>
        </w:tc>
        <w:tc>
          <w:tcPr>
            <w:tcW w:w="2091" w:type="dxa"/>
          </w:tcPr>
          <w:p w14:paraId="3F7C7140" w14:textId="77777777" w:rsidR="00363C49" w:rsidRPr="00C366D2" w:rsidRDefault="00363C49" w:rsidP="00587247">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not detected in 25 g</w:t>
            </w:r>
          </w:p>
        </w:tc>
        <w:tc>
          <w:tcPr>
            <w:tcW w:w="1700" w:type="dxa"/>
          </w:tcPr>
          <w:p w14:paraId="24116F08" w14:textId="77777777" w:rsidR="00363C49" w:rsidRPr="00C366D2" w:rsidRDefault="00363C49" w:rsidP="00587247">
            <w:pPr>
              <w:keepLines/>
              <w:widowControl/>
              <w:tabs>
                <w:tab w:val="right" w:pos="3969"/>
              </w:tabs>
              <w:spacing w:before="60" w:after="60"/>
              <w:rPr>
                <w:rFonts w:cs="Arial"/>
                <w:sz w:val="18"/>
                <w:szCs w:val="20"/>
                <w:lang w:eastAsia="en-AU" w:bidi="ar-SA"/>
              </w:rPr>
            </w:pPr>
          </w:p>
        </w:tc>
      </w:tr>
    </w:tbl>
    <w:tbl>
      <w:tblPr>
        <w:tblStyle w:val="TableGrid2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63C49" w:rsidRPr="00C366D2" w14:paraId="1F10B14C" w14:textId="77777777" w:rsidTr="00587247">
        <w:trPr>
          <w:cantSplit/>
          <w:jc w:val="center"/>
        </w:trPr>
        <w:tc>
          <w:tcPr>
            <w:tcW w:w="9072" w:type="dxa"/>
            <w:gridSpan w:val="5"/>
          </w:tcPr>
          <w:p w14:paraId="028763EA" w14:textId="77777777" w:rsidR="00363C49" w:rsidRPr="00C366D2" w:rsidRDefault="00363C49" w:rsidP="00587247">
            <w:pPr>
              <w:keepNext/>
              <w:keepLines/>
              <w:widowControl/>
              <w:spacing w:before="60" w:after="60"/>
              <w:rPr>
                <w:b/>
                <w:i/>
                <w:sz w:val="18"/>
                <w:szCs w:val="22"/>
                <w:lang w:eastAsia="en-AU" w:bidi="ar-SA"/>
              </w:rPr>
            </w:pPr>
            <w:r w:rsidRPr="00C366D2">
              <w:rPr>
                <w:b/>
                <w:sz w:val="18"/>
                <w:szCs w:val="22"/>
                <w:lang w:eastAsia="en-AU" w:bidi="ar-SA"/>
              </w:rPr>
              <w:t>Powdered follow-on formula*</w:t>
            </w:r>
          </w:p>
        </w:tc>
      </w:tr>
      <w:tr w:rsidR="00363C49" w:rsidRPr="00C366D2" w14:paraId="141248A2" w14:textId="77777777" w:rsidTr="00587247">
        <w:trPr>
          <w:cantSplit/>
          <w:jc w:val="center"/>
        </w:trPr>
        <w:tc>
          <w:tcPr>
            <w:tcW w:w="1954" w:type="dxa"/>
          </w:tcPr>
          <w:p w14:paraId="5E6E674F" w14:textId="77777777" w:rsidR="00363C49" w:rsidRPr="00C366D2" w:rsidRDefault="00363C49" w:rsidP="00587247">
            <w:pPr>
              <w:keepLines/>
              <w:widowControl/>
              <w:tabs>
                <w:tab w:val="right" w:pos="3969"/>
              </w:tabs>
              <w:spacing w:before="60" w:after="60"/>
              <w:rPr>
                <w:sz w:val="18"/>
                <w:szCs w:val="20"/>
                <w:lang w:eastAsia="en-AU" w:bidi="ar-SA"/>
              </w:rPr>
            </w:pPr>
            <w:r w:rsidRPr="00C366D2">
              <w:rPr>
                <w:i/>
                <w:sz w:val="18"/>
                <w:szCs w:val="20"/>
                <w:lang w:eastAsia="en-AU" w:bidi="ar-SA"/>
              </w:rPr>
              <w:t>Salmonella</w:t>
            </w:r>
          </w:p>
        </w:tc>
        <w:tc>
          <w:tcPr>
            <w:tcW w:w="1733" w:type="dxa"/>
          </w:tcPr>
          <w:p w14:paraId="4C7E231B" w14:textId="77777777" w:rsidR="00363C49" w:rsidRPr="00C366D2" w:rsidRDefault="00363C49" w:rsidP="00587247">
            <w:pPr>
              <w:keepLines/>
              <w:widowControl/>
              <w:tabs>
                <w:tab w:val="right" w:pos="3969"/>
              </w:tabs>
              <w:spacing w:before="60" w:after="60"/>
              <w:rPr>
                <w:sz w:val="18"/>
                <w:szCs w:val="20"/>
                <w:lang w:eastAsia="en-AU" w:bidi="ar-SA"/>
              </w:rPr>
            </w:pPr>
            <w:r w:rsidRPr="00C366D2">
              <w:rPr>
                <w:sz w:val="18"/>
                <w:szCs w:val="20"/>
                <w:lang w:eastAsia="en-AU" w:bidi="ar-SA"/>
              </w:rPr>
              <w:t>60</w:t>
            </w:r>
          </w:p>
        </w:tc>
        <w:tc>
          <w:tcPr>
            <w:tcW w:w="1594" w:type="dxa"/>
          </w:tcPr>
          <w:p w14:paraId="1E15A1BF" w14:textId="77777777" w:rsidR="00363C49" w:rsidRPr="00C366D2" w:rsidRDefault="00363C49" w:rsidP="00587247">
            <w:pPr>
              <w:keepLines/>
              <w:widowControl/>
              <w:tabs>
                <w:tab w:val="right" w:pos="3969"/>
              </w:tabs>
              <w:spacing w:before="60" w:after="60"/>
              <w:rPr>
                <w:sz w:val="18"/>
                <w:szCs w:val="20"/>
                <w:lang w:eastAsia="en-AU" w:bidi="ar-SA"/>
              </w:rPr>
            </w:pPr>
            <w:r w:rsidRPr="00C366D2">
              <w:rPr>
                <w:sz w:val="18"/>
                <w:szCs w:val="20"/>
                <w:lang w:eastAsia="en-AU" w:bidi="ar-SA"/>
              </w:rPr>
              <w:t>0</w:t>
            </w:r>
          </w:p>
        </w:tc>
        <w:tc>
          <w:tcPr>
            <w:tcW w:w="2091" w:type="dxa"/>
          </w:tcPr>
          <w:p w14:paraId="3EEAD52F" w14:textId="77777777" w:rsidR="00363C49" w:rsidRPr="00C366D2" w:rsidRDefault="00363C49" w:rsidP="00587247">
            <w:pPr>
              <w:keepLines/>
              <w:widowControl/>
              <w:tabs>
                <w:tab w:val="right" w:pos="3969"/>
              </w:tabs>
              <w:spacing w:before="60" w:after="60"/>
              <w:rPr>
                <w:sz w:val="18"/>
                <w:szCs w:val="20"/>
                <w:lang w:eastAsia="en-AU" w:bidi="ar-SA"/>
              </w:rPr>
            </w:pPr>
            <w:r w:rsidRPr="00C366D2">
              <w:rPr>
                <w:sz w:val="18"/>
                <w:szCs w:val="20"/>
                <w:lang w:eastAsia="en-AU" w:bidi="ar-SA"/>
              </w:rPr>
              <w:t>not detected in 25 g</w:t>
            </w:r>
          </w:p>
        </w:tc>
        <w:tc>
          <w:tcPr>
            <w:tcW w:w="1700" w:type="dxa"/>
          </w:tcPr>
          <w:p w14:paraId="520139C6" w14:textId="77777777" w:rsidR="00363C49" w:rsidRPr="00C366D2" w:rsidRDefault="00363C49" w:rsidP="00587247">
            <w:pPr>
              <w:keepLines/>
              <w:widowControl/>
              <w:tabs>
                <w:tab w:val="right" w:pos="3969"/>
              </w:tabs>
              <w:spacing w:before="60" w:after="60"/>
              <w:rPr>
                <w:sz w:val="18"/>
                <w:szCs w:val="20"/>
                <w:lang w:eastAsia="en-AU" w:bidi="ar-SA"/>
              </w:rPr>
            </w:pPr>
          </w:p>
        </w:tc>
      </w:tr>
      <w:bookmarkEnd w:id="114"/>
      <w:bookmarkEnd w:id="115"/>
      <w:bookmarkEnd w:id="116"/>
      <w:bookmarkEnd w:id="117"/>
      <w:bookmarkEnd w:id="118"/>
      <w:bookmarkEnd w:id="119"/>
      <w:bookmarkEnd w:id="120"/>
    </w:tbl>
    <w:p w14:paraId="32509565" w14:textId="1300C9A5" w:rsidR="0012388D" w:rsidRPr="00363C49" w:rsidRDefault="0012388D" w:rsidP="00363C49">
      <w:pPr>
        <w:tabs>
          <w:tab w:val="left" w:pos="1134"/>
        </w:tabs>
        <w:spacing w:before="120" w:after="120"/>
        <w:rPr>
          <w:sz w:val="20"/>
          <w:lang w:eastAsia="en-AU"/>
        </w:rPr>
      </w:pPr>
    </w:p>
    <w:sectPr w:rsidR="0012388D" w:rsidRPr="00363C49" w:rsidSect="002A7DB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B0B35" w14:textId="77777777" w:rsidR="004E010D" w:rsidRDefault="004E010D">
      <w:r>
        <w:separator/>
      </w:r>
    </w:p>
  </w:endnote>
  <w:endnote w:type="continuationSeparator" w:id="0">
    <w:p w14:paraId="6D585244" w14:textId="77777777" w:rsidR="004E010D" w:rsidRDefault="004E010D">
      <w:r>
        <w:continuationSeparator/>
      </w:r>
    </w:p>
  </w:endnote>
  <w:endnote w:type="continuationNotice" w:id="1">
    <w:p w14:paraId="1FA73327" w14:textId="77777777" w:rsidR="004E010D" w:rsidRDefault="004E0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09653" w14:textId="77777777" w:rsidR="00FE20FE" w:rsidRDefault="00FE20F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09654" w14:textId="77777777" w:rsidR="00FE20FE" w:rsidRDefault="00FE2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32509655" w14:textId="77777777" w:rsidR="00FE20FE" w:rsidRDefault="00FE20FE" w:rsidP="00A671E6">
        <w:pPr>
          <w:pStyle w:val="Footer"/>
          <w:jc w:val="center"/>
        </w:pPr>
        <w:r>
          <w:fldChar w:fldCharType="begin"/>
        </w:r>
        <w:r>
          <w:instrText xml:space="preserve"> PAGE   \* MERGEFORMAT </w:instrText>
        </w:r>
        <w:r>
          <w:fldChar w:fldCharType="separate"/>
        </w:r>
        <w:r w:rsidR="00EA251D">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5B00" w14:textId="77777777" w:rsidR="00EA251D" w:rsidRDefault="00EA2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254CC" w14:textId="77777777" w:rsidR="004E010D" w:rsidRDefault="004E010D">
      <w:r>
        <w:separator/>
      </w:r>
    </w:p>
  </w:footnote>
  <w:footnote w:type="continuationSeparator" w:id="0">
    <w:p w14:paraId="4FA6D414" w14:textId="77777777" w:rsidR="004E010D" w:rsidRDefault="004E010D">
      <w:r>
        <w:continuationSeparator/>
      </w:r>
    </w:p>
  </w:footnote>
  <w:footnote w:type="continuationNotice" w:id="1">
    <w:p w14:paraId="2ADF629A" w14:textId="77777777" w:rsidR="004E010D" w:rsidRDefault="004E010D"/>
  </w:footnote>
  <w:footnote w:id="2">
    <w:p w14:paraId="52CC2788" w14:textId="77777777" w:rsidR="00FE20FE" w:rsidRPr="00EC3A1B" w:rsidRDefault="00FE20FE" w:rsidP="009776D2">
      <w:pPr>
        <w:pStyle w:val="FootnoteText"/>
        <w:rPr>
          <w:sz w:val="18"/>
        </w:rPr>
      </w:pPr>
      <w:r w:rsidRPr="00EC3A1B">
        <w:rPr>
          <w:rStyle w:val="FootnoteReference"/>
          <w:sz w:val="18"/>
        </w:rPr>
        <w:footnoteRef/>
      </w:r>
      <w:r w:rsidRPr="00EC3A1B">
        <w:rPr>
          <w:sz w:val="18"/>
        </w:rPr>
        <w:t xml:space="preserve"> </w:t>
      </w:r>
      <w:hyperlink r:id="rId1" w:history="1">
        <w:r w:rsidRPr="00EC3A1B">
          <w:rPr>
            <w:rStyle w:val="Hyperlink"/>
            <w:sz w:val="18"/>
          </w:rPr>
          <w:t>http://www.foodstandards.gov.au/code/microbiollimits/Pages/Review-of-microbiological-criteria-(second-stage).aspx</w:t>
        </w:r>
      </w:hyperlink>
      <w:r w:rsidRPr="00EC3A1B">
        <w:rPr>
          <w:sz w:val="18"/>
        </w:rPr>
        <w:t xml:space="preserve"> </w:t>
      </w:r>
    </w:p>
  </w:footnote>
  <w:footnote w:id="3">
    <w:p w14:paraId="13949EB5" w14:textId="4DA43DC3" w:rsidR="00FE20FE" w:rsidRPr="00EC3A1B" w:rsidRDefault="00FE20FE">
      <w:pPr>
        <w:pStyle w:val="FootnoteText"/>
      </w:pPr>
      <w:r w:rsidRPr="00EC3A1B">
        <w:rPr>
          <w:rStyle w:val="FootnoteReference"/>
        </w:rPr>
        <w:footnoteRef/>
      </w:r>
      <w:r w:rsidRPr="00EC3A1B">
        <w:t xml:space="preserve"> </w:t>
      </w:r>
      <w:hyperlink r:id="rId2" w:history="1">
        <w:r w:rsidRPr="00EC3A1B">
          <w:rPr>
            <w:rStyle w:val="Hyperlink"/>
            <w:sz w:val="18"/>
          </w:rPr>
          <w:t>http://www.foodstandards.gov.au/code/proposals/Pages/P1039MicroReviewInfantFormula.aspx</w:t>
        </w:r>
      </w:hyperlink>
      <w:r w:rsidRPr="00EC3A1B">
        <w:rPr>
          <w:sz w:val="18"/>
        </w:rPr>
        <w:t xml:space="preserve"> </w:t>
      </w:r>
    </w:p>
  </w:footnote>
  <w:footnote w:id="4">
    <w:p w14:paraId="20F2340C" w14:textId="77777777" w:rsidR="00FE20FE" w:rsidRPr="00EC3A1B" w:rsidRDefault="00FE20FE" w:rsidP="00851082">
      <w:pPr>
        <w:pStyle w:val="FootnoteText"/>
      </w:pPr>
      <w:r w:rsidRPr="00EC3A1B">
        <w:rPr>
          <w:rStyle w:val="FootnoteReference"/>
          <w:sz w:val="18"/>
        </w:rPr>
        <w:footnoteRef/>
      </w:r>
      <w:r w:rsidRPr="00EC3A1B">
        <w:rPr>
          <w:sz w:val="18"/>
        </w:rPr>
        <w:t xml:space="preserve"> Codex Alimentarius Commission – a joint Food and Agriculture Organization of the United Nations (FAO)/World Health Organization (WHO) body responsible for developing internationally recognised standards, codes of practice, guidelines and other recommendations relating to </w:t>
      </w:r>
      <w:r w:rsidRPr="00EC3A1B">
        <w:rPr>
          <w:rFonts w:eastAsiaTheme="majorEastAsia"/>
          <w:sz w:val="18"/>
        </w:rPr>
        <w:t>foods</w:t>
      </w:r>
      <w:r w:rsidRPr="00EC3A1B">
        <w:rPr>
          <w:sz w:val="18"/>
        </w:rPr>
        <w:t xml:space="preserve">, food production and </w:t>
      </w:r>
      <w:r w:rsidRPr="00EC3A1B">
        <w:rPr>
          <w:rFonts w:eastAsiaTheme="majorEastAsia"/>
          <w:sz w:val="18"/>
        </w:rPr>
        <w:t>food safety</w:t>
      </w:r>
      <w:r w:rsidRPr="00EC3A1B">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7924E" w14:textId="77777777" w:rsidR="00EA251D" w:rsidRDefault="00EA2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0915D" w14:textId="77777777" w:rsidR="00EA251D" w:rsidRDefault="00EA2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09656" w14:textId="77777777" w:rsidR="00FE20FE" w:rsidRDefault="00FE20F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42B21"/>
    <w:multiLevelType w:val="multilevel"/>
    <w:tmpl w:val="98CC57C0"/>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A522E6"/>
    <w:multiLevelType w:val="hybridMultilevel"/>
    <w:tmpl w:val="34D090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0D41BBA"/>
    <w:multiLevelType w:val="hybridMultilevel"/>
    <w:tmpl w:val="B7629C4E"/>
    <w:lvl w:ilvl="0" w:tplc="CC4AE94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7">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31B62FB"/>
    <w:multiLevelType w:val="hybridMultilevel"/>
    <w:tmpl w:val="185AB35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620DAF"/>
    <w:multiLevelType w:val="hybridMultilevel"/>
    <w:tmpl w:val="37122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BC121BD"/>
    <w:multiLevelType w:val="hybridMultilevel"/>
    <w:tmpl w:val="2574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4748DD"/>
    <w:multiLevelType w:val="hybridMultilevel"/>
    <w:tmpl w:val="B3EA97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A0C6E9F"/>
    <w:multiLevelType w:val="hybridMultilevel"/>
    <w:tmpl w:val="410A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485B32"/>
    <w:multiLevelType w:val="hybridMultilevel"/>
    <w:tmpl w:val="C96A6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BCE48BB"/>
    <w:multiLevelType w:val="hybridMultilevel"/>
    <w:tmpl w:val="4A32F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7D639DE"/>
    <w:multiLevelType w:val="hybridMultilevel"/>
    <w:tmpl w:val="4C584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4DA1C71"/>
    <w:multiLevelType w:val="hybridMultilevel"/>
    <w:tmpl w:val="B4D29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9">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num w:numId="1">
    <w:abstractNumId w:val="4"/>
  </w:num>
  <w:num w:numId="2">
    <w:abstractNumId w:val="0"/>
  </w:num>
  <w:num w:numId="3">
    <w:abstractNumId w:val="7"/>
  </w:num>
  <w:num w:numId="4">
    <w:abstractNumId w:val="3"/>
  </w:num>
  <w:num w:numId="5">
    <w:abstractNumId w:val="8"/>
  </w:num>
  <w:num w:numId="6">
    <w:abstractNumId w:val="14"/>
  </w:num>
  <w:num w:numId="7">
    <w:abstractNumId w:val="6"/>
  </w:num>
  <w:num w:numId="8">
    <w:abstractNumId w:val="11"/>
  </w:num>
  <w:num w:numId="9">
    <w:abstractNumId w:val="16"/>
  </w:num>
  <w:num w:numId="10">
    <w:abstractNumId w:val="15"/>
  </w:num>
  <w:num w:numId="11">
    <w:abstractNumId w:val="10"/>
  </w:num>
  <w:num w:numId="12">
    <w:abstractNumId w:val="17"/>
  </w:num>
  <w:num w:numId="13">
    <w:abstractNumId w:val="9"/>
  </w:num>
  <w:num w:numId="14">
    <w:abstractNumId w:val="18"/>
  </w:num>
  <w:num w:numId="15">
    <w:abstractNumId w:val="2"/>
  </w:num>
  <w:num w:numId="16">
    <w:abstractNumId w:val="19"/>
  </w:num>
  <w:num w:numId="17">
    <w:abstractNumId w:val="5"/>
  </w:num>
  <w:num w:numId="18">
    <w:abstractNumId w:val="1"/>
  </w:num>
  <w:num w:numId="19">
    <w:abstractNumId w:val="13"/>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1466"/>
    <w:rsid w:val="0000247B"/>
    <w:rsid w:val="0000469B"/>
    <w:rsid w:val="000059FC"/>
    <w:rsid w:val="00010E79"/>
    <w:rsid w:val="00011187"/>
    <w:rsid w:val="00014E34"/>
    <w:rsid w:val="00026923"/>
    <w:rsid w:val="00026E8E"/>
    <w:rsid w:val="000321F4"/>
    <w:rsid w:val="000332AE"/>
    <w:rsid w:val="00035FF3"/>
    <w:rsid w:val="000418F0"/>
    <w:rsid w:val="00041A44"/>
    <w:rsid w:val="00051021"/>
    <w:rsid w:val="000524F0"/>
    <w:rsid w:val="00052D54"/>
    <w:rsid w:val="00055682"/>
    <w:rsid w:val="000576EB"/>
    <w:rsid w:val="00064B2D"/>
    <w:rsid w:val="00065F1F"/>
    <w:rsid w:val="000724F1"/>
    <w:rsid w:val="00074C89"/>
    <w:rsid w:val="00076D33"/>
    <w:rsid w:val="00076D3B"/>
    <w:rsid w:val="00077859"/>
    <w:rsid w:val="00077AEA"/>
    <w:rsid w:val="00081B0A"/>
    <w:rsid w:val="000A0E8D"/>
    <w:rsid w:val="000A3D8B"/>
    <w:rsid w:val="000B427A"/>
    <w:rsid w:val="000B6AF2"/>
    <w:rsid w:val="000B6C69"/>
    <w:rsid w:val="000D6FD4"/>
    <w:rsid w:val="000D7B1C"/>
    <w:rsid w:val="000E0AE4"/>
    <w:rsid w:val="000E1EA4"/>
    <w:rsid w:val="000E3DBC"/>
    <w:rsid w:val="000E662F"/>
    <w:rsid w:val="000F3CFE"/>
    <w:rsid w:val="000F6568"/>
    <w:rsid w:val="00102819"/>
    <w:rsid w:val="00104544"/>
    <w:rsid w:val="0010778D"/>
    <w:rsid w:val="001122EC"/>
    <w:rsid w:val="0012388D"/>
    <w:rsid w:val="0012501A"/>
    <w:rsid w:val="00136B57"/>
    <w:rsid w:val="00142CE5"/>
    <w:rsid w:val="001436E2"/>
    <w:rsid w:val="001469E4"/>
    <w:rsid w:val="00150B54"/>
    <w:rsid w:val="0015187A"/>
    <w:rsid w:val="0016211F"/>
    <w:rsid w:val="00170C07"/>
    <w:rsid w:val="00172DEB"/>
    <w:rsid w:val="001757E3"/>
    <w:rsid w:val="001803FD"/>
    <w:rsid w:val="00182C4C"/>
    <w:rsid w:val="00182E88"/>
    <w:rsid w:val="0018494F"/>
    <w:rsid w:val="001878C5"/>
    <w:rsid w:val="0019399D"/>
    <w:rsid w:val="00197D8D"/>
    <w:rsid w:val="001A1A75"/>
    <w:rsid w:val="001A4513"/>
    <w:rsid w:val="001A7E9A"/>
    <w:rsid w:val="001B189C"/>
    <w:rsid w:val="001B4F98"/>
    <w:rsid w:val="001B58D1"/>
    <w:rsid w:val="001C113D"/>
    <w:rsid w:val="001C27A3"/>
    <w:rsid w:val="001C6553"/>
    <w:rsid w:val="001C65EF"/>
    <w:rsid w:val="001D43F6"/>
    <w:rsid w:val="001E09FA"/>
    <w:rsid w:val="001E3A52"/>
    <w:rsid w:val="001F05E0"/>
    <w:rsid w:val="001F47AF"/>
    <w:rsid w:val="001F72E2"/>
    <w:rsid w:val="00202A6F"/>
    <w:rsid w:val="0022197C"/>
    <w:rsid w:val="00221D07"/>
    <w:rsid w:val="002220B7"/>
    <w:rsid w:val="00224E3B"/>
    <w:rsid w:val="00227E4A"/>
    <w:rsid w:val="002421C1"/>
    <w:rsid w:val="00244139"/>
    <w:rsid w:val="00244F31"/>
    <w:rsid w:val="00250197"/>
    <w:rsid w:val="002654C2"/>
    <w:rsid w:val="002758A0"/>
    <w:rsid w:val="002825AC"/>
    <w:rsid w:val="00286281"/>
    <w:rsid w:val="0029204E"/>
    <w:rsid w:val="002A0194"/>
    <w:rsid w:val="002A1F5E"/>
    <w:rsid w:val="002A5F8B"/>
    <w:rsid w:val="002A7DBA"/>
    <w:rsid w:val="002A7F6C"/>
    <w:rsid w:val="002B0071"/>
    <w:rsid w:val="002C1A3B"/>
    <w:rsid w:val="002D421E"/>
    <w:rsid w:val="002E047A"/>
    <w:rsid w:val="002E16D5"/>
    <w:rsid w:val="002E1820"/>
    <w:rsid w:val="002F35EA"/>
    <w:rsid w:val="002F6488"/>
    <w:rsid w:val="003004E0"/>
    <w:rsid w:val="00300784"/>
    <w:rsid w:val="00305C54"/>
    <w:rsid w:val="0031016C"/>
    <w:rsid w:val="0031426B"/>
    <w:rsid w:val="00314EA0"/>
    <w:rsid w:val="003213F9"/>
    <w:rsid w:val="00323AB6"/>
    <w:rsid w:val="00323DBF"/>
    <w:rsid w:val="00327867"/>
    <w:rsid w:val="00332B12"/>
    <w:rsid w:val="003345EB"/>
    <w:rsid w:val="00337CBC"/>
    <w:rsid w:val="003424DD"/>
    <w:rsid w:val="003428FC"/>
    <w:rsid w:val="003507DB"/>
    <w:rsid w:val="00351B07"/>
    <w:rsid w:val="00363C49"/>
    <w:rsid w:val="0036533D"/>
    <w:rsid w:val="00371B29"/>
    <w:rsid w:val="00372E7D"/>
    <w:rsid w:val="003766F8"/>
    <w:rsid w:val="00380106"/>
    <w:rsid w:val="003814F0"/>
    <w:rsid w:val="00381E07"/>
    <w:rsid w:val="00385788"/>
    <w:rsid w:val="00391769"/>
    <w:rsid w:val="003953E1"/>
    <w:rsid w:val="003956B3"/>
    <w:rsid w:val="003A0A4D"/>
    <w:rsid w:val="003A3D30"/>
    <w:rsid w:val="003A68BE"/>
    <w:rsid w:val="003A7B84"/>
    <w:rsid w:val="003B4F29"/>
    <w:rsid w:val="003C4969"/>
    <w:rsid w:val="003D260D"/>
    <w:rsid w:val="003D2CDC"/>
    <w:rsid w:val="003D6F13"/>
    <w:rsid w:val="003E0B67"/>
    <w:rsid w:val="003E41D5"/>
    <w:rsid w:val="003E46BA"/>
    <w:rsid w:val="003E6443"/>
    <w:rsid w:val="003F5873"/>
    <w:rsid w:val="003F74C1"/>
    <w:rsid w:val="00401ADE"/>
    <w:rsid w:val="00405B1A"/>
    <w:rsid w:val="00410C76"/>
    <w:rsid w:val="00410EA2"/>
    <w:rsid w:val="00411907"/>
    <w:rsid w:val="00417EE3"/>
    <w:rsid w:val="004207EB"/>
    <w:rsid w:val="00421730"/>
    <w:rsid w:val="00422EC9"/>
    <w:rsid w:val="0042317D"/>
    <w:rsid w:val="00423AC7"/>
    <w:rsid w:val="00426E93"/>
    <w:rsid w:val="00432A42"/>
    <w:rsid w:val="00433808"/>
    <w:rsid w:val="00437276"/>
    <w:rsid w:val="004458B4"/>
    <w:rsid w:val="004465F0"/>
    <w:rsid w:val="00452549"/>
    <w:rsid w:val="00453646"/>
    <w:rsid w:val="00456B54"/>
    <w:rsid w:val="00456BD5"/>
    <w:rsid w:val="00464643"/>
    <w:rsid w:val="004674D4"/>
    <w:rsid w:val="00475E36"/>
    <w:rsid w:val="00486793"/>
    <w:rsid w:val="00486C66"/>
    <w:rsid w:val="00494A3F"/>
    <w:rsid w:val="004A2037"/>
    <w:rsid w:val="004A669A"/>
    <w:rsid w:val="004A793C"/>
    <w:rsid w:val="004B047B"/>
    <w:rsid w:val="004B4CDC"/>
    <w:rsid w:val="004C7870"/>
    <w:rsid w:val="004D121E"/>
    <w:rsid w:val="004D1B1C"/>
    <w:rsid w:val="004E010D"/>
    <w:rsid w:val="004F4F98"/>
    <w:rsid w:val="004F69F6"/>
    <w:rsid w:val="004F79AC"/>
    <w:rsid w:val="00500420"/>
    <w:rsid w:val="00501351"/>
    <w:rsid w:val="00502773"/>
    <w:rsid w:val="00506E9B"/>
    <w:rsid w:val="00513B73"/>
    <w:rsid w:val="005207D8"/>
    <w:rsid w:val="00523930"/>
    <w:rsid w:val="005244F1"/>
    <w:rsid w:val="005253F5"/>
    <w:rsid w:val="00537CDC"/>
    <w:rsid w:val="00556224"/>
    <w:rsid w:val="00556919"/>
    <w:rsid w:val="00560185"/>
    <w:rsid w:val="00562917"/>
    <w:rsid w:val="00571B8C"/>
    <w:rsid w:val="005727EB"/>
    <w:rsid w:val="005811B7"/>
    <w:rsid w:val="00586228"/>
    <w:rsid w:val="00587247"/>
    <w:rsid w:val="005946D3"/>
    <w:rsid w:val="00597631"/>
    <w:rsid w:val="00597EDA"/>
    <w:rsid w:val="005A073C"/>
    <w:rsid w:val="005A572E"/>
    <w:rsid w:val="005B4830"/>
    <w:rsid w:val="005B6AF4"/>
    <w:rsid w:val="005C04CB"/>
    <w:rsid w:val="005C640C"/>
    <w:rsid w:val="005C75CE"/>
    <w:rsid w:val="005D16AD"/>
    <w:rsid w:val="005D2016"/>
    <w:rsid w:val="005D72E1"/>
    <w:rsid w:val="005E06C0"/>
    <w:rsid w:val="005E4034"/>
    <w:rsid w:val="005E58D3"/>
    <w:rsid w:val="005E6E16"/>
    <w:rsid w:val="005F2B3D"/>
    <w:rsid w:val="005F3728"/>
    <w:rsid w:val="005F400E"/>
    <w:rsid w:val="005F550A"/>
    <w:rsid w:val="005F7342"/>
    <w:rsid w:val="00602523"/>
    <w:rsid w:val="00610A3C"/>
    <w:rsid w:val="00610EDA"/>
    <w:rsid w:val="006138D7"/>
    <w:rsid w:val="00615E83"/>
    <w:rsid w:val="00616017"/>
    <w:rsid w:val="00627EEA"/>
    <w:rsid w:val="00627F48"/>
    <w:rsid w:val="0063455F"/>
    <w:rsid w:val="00635814"/>
    <w:rsid w:val="0066383D"/>
    <w:rsid w:val="00663FCF"/>
    <w:rsid w:val="006652A2"/>
    <w:rsid w:val="00681274"/>
    <w:rsid w:val="00683071"/>
    <w:rsid w:val="006917D9"/>
    <w:rsid w:val="00692490"/>
    <w:rsid w:val="006969CC"/>
    <w:rsid w:val="00696A15"/>
    <w:rsid w:val="006A1607"/>
    <w:rsid w:val="006A48A7"/>
    <w:rsid w:val="006A5D40"/>
    <w:rsid w:val="006C22A7"/>
    <w:rsid w:val="006C5CF5"/>
    <w:rsid w:val="006D33FF"/>
    <w:rsid w:val="006E10A1"/>
    <w:rsid w:val="006E30FD"/>
    <w:rsid w:val="006F00CB"/>
    <w:rsid w:val="006F4A82"/>
    <w:rsid w:val="007014A2"/>
    <w:rsid w:val="0071000C"/>
    <w:rsid w:val="0071040D"/>
    <w:rsid w:val="00710C37"/>
    <w:rsid w:val="00724FA4"/>
    <w:rsid w:val="00727DE6"/>
    <w:rsid w:val="00730800"/>
    <w:rsid w:val="0073248F"/>
    <w:rsid w:val="00732A9D"/>
    <w:rsid w:val="007537BD"/>
    <w:rsid w:val="00755F02"/>
    <w:rsid w:val="0075766B"/>
    <w:rsid w:val="007602AA"/>
    <w:rsid w:val="0076521C"/>
    <w:rsid w:val="007652EF"/>
    <w:rsid w:val="00765DE1"/>
    <w:rsid w:val="00772BDC"/>
    <w:rsid w:val="00775591"/>
    <w:rsid w:val="00777437"/>
    <w:rsid w:val="00780792"/>
    <w:rsid w:val="00781A77"/>
    <w:rsid w:val="0078309E"/>
    <w:rsid w:val="0079587B"/>
    <w:rsid w:val="00795D86"/>
    <w:rsid w:val="007A44B4"/>
    <w:rsid w:val="007A53BF"/>
    <w:rsid w:val="007A7350"/>
    <w:rsid w:val="007A7D3D"/>
    <w:rsid w:val="007B225D"/>
    <w:rsid w:val="007B37B3"/>
    <w:rsid w:val="007B5ABE"/>
    <w:rsid w:val="007C11A3"/>
    <w:rsid w:val="007C1C64"/>
    <w:rsid w:val="007C22CB"/>
    <w:rsid w:val="007D0189"/>
    <w:rsid w:val="007E48BC"/>
    <w:rsid w:val="007E79F7"/>
    <w:rsid w:val="007F3630"/>
    <w:rsid w:val="007F580D"/>
    <w:rsid w:val="007F70B6"/>
    <w:rsid w:val="007F7BF7"/>
    <w:rsid w:val="00807559"/>
    <w:rsid w:val="00813464"/>
    <w:rsid w:val="008223FB"/>
    <w:rsid w:val="00831154"/>
    <w:rsid w:val="00833D27"/>
    <w:rsid w:val="008450BC"/>
    <w:rsid w:val="00847066"/>
    <w:rsid w:val="00850B09"/>
    <w:rsid w:val="00851082"/>
    <w:rsid w:val="008513FD"/>
    <w:rsid w:val="0085334B"/>
    <w:rsid w:val="008537BA"/>
    <w:rsid w:val="00856763"/>
    <w:rsid w:val="00860808"/>
    <w:rsid w:val="00861C13"/>
    <w:rsid w:val="00862349"/>
    <w:rsid w:val="0086571E"/>
    <w:rsid w:val="00870214"/>
    <w:rsid w:val="00871116"/>
    <w:rsid w:val="008728DF"/>
    <w:rsid w:val="00885C51"/>
    <w:rsid w:val="00896B85"/>
    <w:rsid w:val="008A088C"/>
    <w:rsid w:val="008A243D"/>
    <w:rsid w:val="008A2588"/>
    <w:rsid w:val="008A553F"/>
    <w:rsid w:val="008C142B"/>
    <w:rsid w:val="008D06C6"/>
    <w:rsid w:val="008D18BA"/>
    <w:rsid w:val="008D4F72"/>
    <w:rsid w:val="008D5E9D"/>
    <w:rsid w:val="008E2D64"/>
    <w:rsid w:val="008E2EC2"/>
    <w:rsid w:val="008E6250"/>
    <w:rsid w:val="008F6011"/>
    <w:rsid w:val="00920249"/>
    <w:rsid w:val="00932F14"/>
    <w:rsid w:val="0094247F"/>
    <w:rsid w:val="00942D60"/>
    <w:rsid w:val="009460FA"/>
    <w:rsid w:val="00947534"/>
    <w:rsid w:val="009478A1"/>
    <w:rsid w:val="009523AD"/>
    <w:rsid w:val="00955E91"/>
    <w:rsid w:val="009574D6"/>
    <w:rsid w:val="0096523B"/>
    <w:rsid w:val="00972D06"/>
    <w:rsid w:val="009756A2"/>
    <w:rsid w:val="009776D2"/>
    <w:rsid w:val="00982D05"/>
    <w:rsid w:val="00983892"/>
    <w:rsid w:val="00984E58"/>
    <w:rsid w:val="0098718E"/>
    <w:rsid w:val="0099323D"/>
    <w:rsid w:val="0099623A"/>
    <w:rsid w:val="009A059C"/>
    <w:rsid w:val="009A2699"/>
    <w:rsid w:val="009A2DC9"/>
    <w:rsid w:val="009A391C"/>
    <w:rsid w:val="009A6082"/>
    <w:rsid w:val="009B5E5A"/>
    <w:rsid w:val="009D3ABB"/>
    <w:rsid w:val="009E0A61"/>
    <w:rsid w:val="009E3010"/>
    <w:rsid w:val="009E46F5"/>
    <w:rsid w:val="009F4096"/>
    <w:rsid w:val="009F7065"/>
    <w:rsid w:val="00A05A94"/>
    <w:rsid w:val="00A06FA7"/>
    <w:rsid w:val="00A2449C"/>
    <w:rsid w:val="00A318EB"/>
    <w:rsid w:val="00A37AFE"/>
    <w:rsid w:val="00A50FA3"/>
    <w:rsid w:val="00A551B9"/>
    <w:rsid w:val="00A56DC7"/>
    <w:rsid w:val="00A66C4C"/>
    <w:rsid w:val="00A66FDD"/>
    <w:rsid w:val="00A671E6"/>
    <w:rsid w:val="00A709E5"/>
    <w:rsid w:val="00A74FD1"/>
    <w:rsid w:val="00A755E9"/>
    <w:rsid w:val="00A75766"/>
    <w:rsid w:val="00A84A58"/>
    <w:rsid w:val="00A929A9"/>
    <w:rsid w:val="00A96594"/>
    <w:rsid w:val="00A96F51"/>
    <w:rsid w:val="00AA41BA"/>
    <w:rsid w:val="00AA6D0D"/>
    <w:rsid w:val="00AA6FA3"/>
    <w:rsid w:val="00AA7DC5"/>
    <w:rsid w:val="00AC428E"/>
    <w:rsid w:val="00AD344F"/>
    <w:rsid w:val="00AE3A2A"/>
    <w:rsid w:val="00AE4FFD"/>
    <w:rsid w:val="00AE69CA"/>
    <w:rsid w:val="00AF0D98"/>
    <w:rsid w:val="00AF24FA"/>
    <w:rsid w:val="00AF387F"/>
    <w:rsid w:val="00AF397D"/>
    <w:rsid w:val="00AF4071"/>
    <w:rsid w:val="00B00E7F"/>
    <w:rsid w:val="00B14B8C"/>
    <w:rsid w:val="00B17112"/>
    <w:rsid w:val="00B21055"/>
    <w:rsid w:val="00B21DCC"/>
    <w:rsid w:val="00B259B3"/>
    <w:rsid w:val="00B25F37"/>
    <w:rsid w:val="00B31BDB"/>
    <w:rsid w:val="00B323C6"/>
    <w:rsid w:val="00B37158"/>
    <w:rsid w:val="00B425AA"/>
    <w:rsid w:val="00B44422"/>
    <w:rsid w:val="00B46EA0"/>
    <w:rsid w:val="00B470FB"/>
    <w:rsid w:val="00B55714"/>
    <w:rsid w:val="00B5603A"/>
    <w:rsid w:val="00B731D3"/>
    <w:rsid w:val="00B7592E"/>
    <w:rsid w:val="00B75B57"/>
    <w:rsid w:val="00B808EC"/>
    <w:rsid w:val="00B811B3"/>
    <w:rsid w:val="00B830BE"/>
    <w:rsid w:val="00B839A3"/>
    <w:rsid w:val="00B902BD"/>
    <w:rsid w:val="00B92501"/>
    <w:rsid w:val="00B94D60"/>
    <w:rsid w:val="00BA1009"/>
    <w:rsid w:val="00BB0EC9"/>
    <w:rsid w:val="00BC626A"/>
    <w:rsid w:val="00BC6A11"/>
    <w:rsid w:val="00BD0DA0"/>
    <w:rsid w:val="00BD2A39"/>
    <w:rsid w:val="00BD2E80"/>
    <w:rsid w:val="00BD2FCE"/>
    <w:rsid w:val="00BD321B"/>
    <w:rsid w:val="00BD49FF"/>
    <w:rsid w:val="00BD4B64"/>
    <w:rsid w:val="00BD77E1"/>
    <w:rsid w:val="00BE11B8"/>
    <w:rsid w:val="00BF7FF0"/>
    <w:rsid w:val="00C11AEA"/>
    <w:rsid w:val="00C12502"/>
    <w:rsid w:val="00C26B3B"/>
    <w:rsid w:val="00C301B3"/>
    <w:rsid w:val="00C317AF"/>
    <w:rsid w:val="00C3617C"/>
    <w:rsid w:val="00C40AA5"/>
    <w:rsid w:val="00C46F70"/>
    <w:rsid w:val="00C476D0"/>
    <w:rsid w:val="00C50E17"/>
    <w:rsid w:val="00C5670C"/>
    <w:rsid w:val="00C6434A"/>
    <w:rsid w:val="00C658A8"/>
    <w:rsid w:val="00C672AF"/>
    <w:rsid w:val="00C7301E"/>
    <w:rsid w:val="00C74398"/>
    <w:rsid w:val="00C830B9"/>
    <w:rsid w:val="00C836E3"/>
    <w:rsid w:val="00C836FF"/>
    <w:rsid w:val="00C854DC"/>
    <w:rsid w:val="00C85E10"/>
    <w:rsid w:val="00C86577"/>
    <w:rsid w:val="00C91C02"/>
    <w:rsid w:val="00C92E07"/>
    <w:rsid w:val="00C96868"/>
    <w:rsid w:val="00C9719B"/>
    <w:rsid w:val="00CA0416"/>
    <w:rsid w:val="00CA4039"/>
    <w:rsid w:val="00CA5734"/>
    <w:rsid w:val="00CB115C"/>
    <w:rsid w:val="00CC3764"/>
    <w:rsid w:val="00CC3A35"/>
    <w:rsid w:val="00CC44B1"/>
    <w:rsid w:val="00CC5468"/>
    <w:rsid w:val="00CC560B"/>
    <w:rsid w:val="00CC75E2"/>
    <w:rsid w:val="00CD0B00"/>
    <w:rsid w:val="00CD2DA3"/>
    <w:rsid w:val="00CD46EB"/>
    <w:rsid w:val="00CD7EBF"/>
    <w:rsid w:val="00CE59AA"/>
    <w:rsid w:val="00CE6440"/>
    <w:rsid w:val="00CF0E86"/>
    <w:rsid w:val="00CF2ECC"/>
    <w:rsid w:val="00D00DFA"/>
    <w:rsid w:val="00D056F1"/>
    <w:rsid w:val="00D06616"/>
    <w:rsid w:val="00D144D7"/>
    <w:rsid w:val="00D15A08"/>
    <w:rsid w:val="00D17588"/>
    <w:rsid w:val="00D23DB6"/>
    <w:rsid w:val="00D2543E"/>
    <w:rsid w:val="00D37E31"/>
    <w:rsid w:val="00D424C6"/>
    <w:rsid w:val="00D42EAE"/>
    <w:rsid w:val="00D44131"/>
    <w:rsid w:val="00D51A95"/>
    <w:rsid w:val="00D60568"/>
    <w:rsid w:val="00D70C7A"/>
    <w:rsid w:val="00D72A29"/>
    <w:rsid w:val="00D8176E"/>
    <w:rsid w:val="00D834E5"/>
    <w:rsid w:val="00D90187"/>
    <w:rsid w:val="00D9376E"/>
    <w:rsid w:val="00D96C9C"/>
    <w:rsid w:val="00DA10A8"/>
    <w:rsid w:val="00DA56A9"/>
    <w:rsid w:val="00DB123A"/>
    <w:rsid w:val="00DB1E08"/>
    <w:rsid w:val="00DB2973"/>
    <w:rsid w:val="00DC0FBA"/>
    <w:rsid w:val="00DC1B56"/>
    <w:rsid w:val="00DC20CC"/>
    <w:rsid w:val="00DC2129"/>
    <w:rsid w:val="00DC6570"/>
    <w:rsid w:val="00DD265C"/>
    <w:rsid w:val="00DD3703"/>
    <w:rsid w:val="00DD3DA2"/>
    <w:rsid w:val="00DD53F4"/>
    <w:rsid w:val="00DE5528"/>
    <w:rsid w:val="00DF25C3"/>
    <w:rsid w:val="00DF4357"/>
    <w:rsid w:val="00DF5CFF"/>
    <w:rsid w:val="00DF72BB"/>
    <w:rsid w:val="00E04062"/>
    <w:rsid w:val="00E063C6"/>
    <w:rsid w:val="00E2003B"/>
    <w:rsid w:val="00E20228"/>
    <w:rsid w:val="00E26887"/>
    <w:rsid w:val="00E2781C"/>
    <w:rsid w:val="00E279D8"/>
    <w:rsid w:val="00E30092"/>
    <w:rsid w:val="00E319B1"/>
    <w:rsid w:val="00E327A6"/>
    <w:rsid w:val="00E3684F"/>
    <w:rsid w:val="00E47D3B"/>
    <w:rsid w:val="00E525AF"/>
    <w:rsid w:val="00E5492F"/>
    <w:rsid w:val="00E572B1"/>
    <w:rsid w:val="00E6369A"/>
    <w:rsid w:val="00E675EE"/>
    <w:rsid w:val="00E70A86"/>
    <w:rsid w:val="00E73E50"/>
    <w:rsid w:val="00E777EC"/>
    <w:rsid w:val="00E80FCD"/>
    <w:rsid w:val="00EA251D"/>
    <w:rsid w:val="00EA3F24"/>
    <w:rsid w:val="00EA6A3B"/>
    <w:rsid w:val="00EA7DB0"/>
    <w:rsid w:val="00EA7F2F"/>
    <w:rsid w:val="00EB6590"/>
    <w:rsid w:val="00EC00DE"/>
    <w:rsid w:val="00EC0A83"/>
    <w:rsid w:val="00EC21DF"/>
    <w:rsid w:val="00EC30E1"/>
    <w:rsid w:val="00EC3436"/>
    <w:rsid w:val="00EC3A1B"/>
    <w:rsid w:val="00EC465F"/>
    <w:rsid w:val="00EC66BB"/>
    <w:rsid w:val="00ED0B0F"/>
    <w:rsid w:val="00ED172A"/>
    <w:rsid w:val="00EE01DC"/>
    <w:rsid w:val="00F0436E"/>
    <w:rsid w:val="00F14077"/>
    <w:rsid w:val="00F14AB3"/>
    <w:rsid w:val="00F14BEC"/>
    <w:rsid w:val="00F2008D"/>
    <w:rsid w:val="00F20A3F"/>
    <w:rsid w:val="00F224B7"/>
    <w:rsid w:val="00F225C5"/>
    <w:rsid w:val="00F25231"/>
    <w:rsid w:val="00F2587A"/>
    <w:rsid w:val="00F33470"/>
    <w:rsid w:val="00F34E02"/>
    <w:rsid w:val="00F3715D"/>
    <w:rsid w:val="00F37A10"/>
    <w:rsid w:val="00F41DF2"/>
    <w:rsid w:val="00F420C8"/>
    <w:rsid w:val="00F42A4C"/>
    <w:rsid w:val="00F526BD"/>
    <w:rsid w:val="00F551F3"/>
    <w:rsid w:val="00F634A1"/>
    <w:rsid w:val="00FB1955"/>
    <w:rsid w:val="00FB6EF1"/>
    <w:rsid w:val="00FB7512"/>
    <w:rsid w:val="00FD1342"/>
    <w:rsid w:val="00FD4042"/>
    <w:rsid w:val="00FD7547"/>
    <w:rsid w:val="00FE20FE"/>
    <w:rsid w:val="00FE287B"/>
    <w:rsid w:val="00FE6B50"/>
    <w:rsid w:val="00FF1B03"/>
    <w:rsid w:val="00FF5F5C"/>
    <w:rsid w:val="00FF6EB7"/>
    <w:rsid w:val="00FF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0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99"/>
    <w:rsid w:val="006E10A1"/>
    <w:rPr>
      <w:rFonts w:ascii="Arial" w:hAnsi="Arial"/>
      <w:lang w:eastAsia="en-US" w:bidi="en-US"/>
    </w:rPr>
  </w:style>
  <w:style w:type="paragraph" w:styleId="ListParagraph">
    <w:name w:val="List Paragraph"/>
    <w:basedOn w:val="Normal"/>
    <w:uiPriority w:val="34"/>
    <w:qFormat/>
    <w:rsid w:val="005C640C"/>
    <w:pPr>
      <w:ind w:left="720"/>
      <w:contextualSpacing/>
    </w:pPr>
  </w:style>
  <w:style w:type="table" w:customStyle="1" w:styleId="TableGrid1">
    <w:name w:val="Table Grid1"/>
    <w:basedOn w:val="TableNormal"/>
    <w:next w:val="TableGrid"/>
    <w:uiPriority w:val="59"/>
    <w:rsid w:val="002E047A"/>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2E047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Main">
    <w:name w:val="FSC_t_Main"/>
    <w:basedOn w:val="FSCbasepara"/>
    <w:rsid w:val="00781A77"/>
    <w:pPr>
      <w:keepLines w:val="0"/>
      <w:widowControl w:val="0"/>
      <w:tabs>
        <w:tab w:val="left" w:pos="1134"/>
      </w:tabs>
      <w:spacing w:after="120"/>
    </w:pPr>
  </w:style>
  <w:style w:type="paragraph" w:customStyle="1" w:styleId="FSCnatHeading">
    <w:name w:val="FSC_n_at_Heading"/>
    <w:basedOn w:val="FSCtMain"/>
    <w:qFormat/>
    <w:rsid w:val="00781A77"/>
    <w:pPr>
      <w:ind w:left="851" w:hanging="851"/>
    </w:pPr>
    <w:rPr>
      <w:sz w:val="16"/>
    </w:rPr>
  </w:style>
  <w:style w:type="paragraph" w:customStyle="1" w:styleId="FSCnMain">
    <w:name w:val="FSC_n_Main"/>
    <w:basedOn w:val="FSCtPara"/>
    <w:qFormat/>
    <w:rsid w:val="00781A77"/>
    <w:rPr>
      <w:iCs w:val="0"/>
      <w:sz w:val="16"/>
      <w:szCs w:val="18"/>
    </w:rPr>
  </w:style>
  <w:style w:type="paragraph" w:customStyle="1" w:styleId="FSCtDefn">
    <w:name w:val="FSC_t_Defn"/>
    <w:basedOn w:val="FSCtMain"/>
    <w:rsid w:val="00781A77"/>
    <w:pPr>
      <w:ind w:firstLine="0"/>
    </w:pPr>
  </w:style>
  <w:style w:type="paragraph" w:customStyle="1" w:styleId="FSCtblh3">
    <w:name w:val="FSC_tbl_h3"/>
    <w:basedOn w:val="Normal"/>
    <w:next w:val="Normal"/>
    <w:rsid w:val="00781A77"/>
    <w:pPr>
      <w:keepNext/>
      <w:keepLines/>
      <w:widowControl/>
      <w:spacing w:before="60" w:after="60"/>
    </w:pPr>
    <w:rPr>
      <w:rFonts w:cs="Arial"/>
      <w:b/>
      <w:i/>
      <w:sz w:val="18"/>
      <w:szCs w:val="22"/>
      <w:lang w:eastAsia="en-AU" w:bidi="ar-SA"/>
    </w:rPr>
  </w:style>
  <w:style w:type="paragraph" w:customStyle="1" w:styleId="FSCtblMain">
    <w:name w:val="FSC_tbl_Main"/>
    <w:basedOn w:val="Normal"/>
    <w:rsid w:val="00781A77"/>
    <w:pPr>
      <w:keepLines/>
      <w:widowControl/>
      <w:tabs>
        <w:tab w:val="right" w:pos="3969"/>
      </w:tabs>
      <w:spacing w:before="60" w:after="60"/>
    </w:pPr>
    <w:rPr>
      <w:rFonts w:cs="Arial"/>
      <w:sz w:val="18"/>
      <w:szCs w:val="20"/>
      <w:lang w:eastAsia="en-AU" w:bidi="ar-SA"/>
    </w:rPr>
  </w:style>
  <w:style w:type="table" w:customStyle="1" w:styleId="TableGrid2">
    <w:name w:val="Table Grid2"/>
    <w:basedOn w:val="TableNormal"/>
    <w:next w:val="TableGrid"/>
    <w:uiPriority w:val="59"/>
    <w:rsid w:val="002E047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Char">
    <w:name w:val="Clause Char"/>
    <w:basedOn w:val="DefaultParagraphFont"/>
    <w:link w:val="Clause"/>
    <w:rsid w:val="008F6011"/>
    <w:rPr>
      <w:rFonts w:ascii="Arial" w:hAnsi="Arial"/>
      <w:lang w:eastAsia="en-US" w:bidi="en-US"/>
    </w:rPr>
  </w:style>
  <w:style w:type="paragraph" w:customStyle="1" w:styleId="NormalBase">
    <w:name w:val="Normal Base"/>
    <w:semiHidden/>
    <w:rsid w:val="00C672AF"/>
    <w:pPr>
      <w:spacing w:before="140" w:after="140" w:line="280" w:lineRule="atLeast"/>
    </w:pPr>
    <w:rPr>
      <w:rFonts w:ascii="Arial" w:hAnsi="Arial" w:cs="Arial"/>
      <w:sz w:val="22"/>
      <w:szCs w:val="22"/>
      <w:lang w:val="en-AU" w:eastAsia="en-AU"/>
    </w:rPr>
  </w:style>
  <w:style w:type="paragraph" w:customStyle="1" w:styleId="FSCDraftingitem">
    <w:name w:val="FSC_Drafting_item"/>
    <w:basedOn w:val="Normal"/>
    <w:qFormat/>
    <w:rsid w:val="00781A7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81A77"/>
    <w:pPr>
      <w:spacing w:before="120" w:after="120"/>
      <w:ind w:left="851" w:hanging="851"/>
    </w:pPr>
    <w:rPr>
      <w:b/>
      <w:sz w:val="20"/>
      <w:szCs w:val="20"/>
      <w:lang w:bidi="ar-SA"/>
    </w:rPr>
  </w:style>
  <w:style w:type="paragraph" w:customStyle="1" w:styleId="FSCbaseheading">
    <w:name w:val="FSC_base_heading"/>
    <w:rsid w:val="00781A77"/>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781A77"/>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81A77"/>
    <w:pPr>
      <w:spacing w:before="60" w:after="60"/>
      <w:ind w:left="0" w:firstLine="0"/>
    </w:pPr>
    <w:rPr>
      <w:sz w:val="18"/>
    </w:rPr>
  </w:style>
  <w:style w:type="paragraph" w:customStyle="1" w:styleId="FSCbaseTOC">
    <w:name w:val="FSC_base_TOC"/>
    <w:rsid w:val="00781A77"/>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781A77"/>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81A77"/>
    <w:pPr>
      <w:spacing w:before="0" w:after="240"/>
      <w:outlineLvl w:val="0"/>
    </w:pPr>
    <w:rPr>
      <w:bCs w:val="0"/>
      <w:sz w:val="40"/>
    </w:rPr>
  </w:style>
  <w:style w:type="paragraph" w:customStyle="1" w:styleId="FSCh2Part">
    <w:name w:val="FSC_h2_Part"/>
    <w:basedOn w:val="FSCbaseheading"/>
    <w:next w:val="Normal"/>
    <w:qFormat/>
    <w:rsid w:val="00781A77"/>
    <w:pPr>
      <w:spacing w:before="240" w:after="240"/>
      <w:outlineLvl w:val="1"/>
    </w:pPr>
    <w:rPr>
      <w:bCs w:val="0"/>
      <w:sz w:val="36"/>
      <w:szCs w:val="22"/>
    </w:rPr>
  </w:style>
  <w:style w:type="paragraph" w:customStyle="1" w:styleId="FSCh3Standard">
    <w:name w:val="FSC_h3_Standard"/>
    <w:basedOn w:val="FSCbaseheading"/>
    <w:next w:val="Normal"/>
    <w:qFormat/>
    <w:rsid w:val="00781A77"/>
    <w:pPr>
      <w:spacing w:before="0" w:after="240"/>
      <w:outlineLvl w:val="2"/>
    </w:pPr>
    <w:rPr>
      <w:sz w:val="32"/>
    </w:rPr>
  </w:style>
  <w:style w:type="paragraph" w:customStyle="1" w:styleId="FSCh3Contents">
    <w:name w:val="FSC_h3_Contents"/>
    <w:basedOn w:val="FSCh3Standard"/>
    <w:rsid w:val="00781A77"/>
    <w:pPr>
      <w:ind w:left="0" w:firstLine="0"/>
      <w:jc w:val="center"/>
    </w:pPr>
  </w:style>
  <w:style w:type="paragraph" w:customStyle="1" w:styleId="FSCh4Div">
    <w:name w:val="FSC_h4_Div"/>
    <w:basedOn w:val="FSCbaseheading"/>
    <w:next w:val="Normal"/>
    <w:qFormat/>
    <w:rsid w:val="00781A7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81A77"/>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781A77"/>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781A77"/>
    <w:pPr>
      <w:keepLines w:val="0"/>
      <w:widowControl w:val="0"/>
      <w:spacing w:before="120" w:after="60"/>
      <w:ind w:left="1701" w:firstLine="0"/>
    </w:pPr>
    <w:rPr>
      <w:b w:val="0"/>
      <w:i/>
      <w:sz w:val="20"/>
    </w:rPr>
  </w:style>
  <w:style w:type="paragraph" w:customStyle="1" w:styleId="FSCtPara">
    <w:name w:val="FSC_t_Para"/>
    <w:basedOn w:val="FSCtMain"/>
    <w:qFormat/>
    <w:rsid w:val="00781A77"/>
    <w:pPr>
      <w:tabs>
        <w:tab w:val="clear" w:pos="1134"/>
        <w:tab w:val="left" w:pos="1701"/>
      </w:tabs>
      <w:spacing w:before="60" w:after="60"/>
      <w:ind w:left="2268" w:hanging="2268"/>
    </w:pPr>
  </w:style>
  <w:style w:type="paragraph" w:customStyle="1" w:styleId="FSCtSubpara">
    <w:name w:val="FSC_t_Subpara"/>
    <w:basedOn w:val="FSCtMain"/>
    <w:qFormat/>
    <w:rsid w:val="00781A77"/>
    <w:pPr>
      <w:tabs>
        <w:tab w:val="clear" w:pos="1134"/>
        <w:tab w:val="left" w:pos="2268"/>
      </w:tabs>
      <w:spacing w:before="60" w:after="60"/>
      <w:ind w:left="2835" w:hanging="2835"/>
    </w:pPr>
  </w:style>
  <w:style w:type="paragraph" w:customStyle="1" w:styleId="FSCnPara">
    <w:name w:val="FSC_n_Para"/>
    <w:basedOn w:val="FSCtSubpara"/>
    <w:qFormat/>
    <w:rsid w:val="00781A77"/>
    <w:rPr>
      <w:sz w:val="16"/>
    </w:rPr>
  </w:style>
  <w:style w:type="paragraph" w:customStyle="1" w:styleId="FSCtSubsub">
    <w:name w:val="FSC_t_Subsub"/>
    <w:basedOn w:val="FSCtPara"/>
    <w:qFormat/>
    <w:rsid w:val="00781A77"/>
    <w:pPr>
      <w:tabs>
        <w:tab w:val="clear" w:pos="1701"/>
        <w:tab w:val="left" w:pos="2835"/>
      </w:tabs>
      <w:ind w:left="3402" w:hanging="3402"/>
    </w:pPr>
  </w:style>
  <w:style w:type="paragraph" w:customStyle="1" w:styleId="FSCnSubpara">
    <w:name w:val="FSC_n_Subpara"/>
    <w:basedOn w:val="FSCtSubsub"/>
    <w:qFormat/>
    <w:rsid w:val="00781A77"/>
    <w:rPr>
      <w:sz w:val="16"/>
    </w:rPr>
  </w:style>
  <w:style w:type="paragraph" w:customStyle="1" w:styleId="FSCnSubsub">
    <w:name w:val="FSC_n_Subsub"/>
    <w:basedOn w:val="FSCnSubpara"/>
    <w:qFormat/>
    <w:rsid w:val="00781A77"/>
    <w:pPr>
      <w:tabs>
        <w:tab w:val="clear" w:pos="2835"/>
        <w:tab w:val="left" w:pos="3402"/>
      </w:tabs>
      <w:ind w:left="3969" w:hanging="3969"/>
    </w:pPr>
  </w:style>
  <w:style w:type="paragraph" w:customStyle="1" w:styleId="FSCoContents">
    <w:name w:val="FSC_o_Contents"/>
    <w:basedOn w:val="FSCh2Part"/>
    <w:rsid w:val="00781A77"/>
    <w:pPr>
      <w:ind w:left="0" w:firstLine="0"/>
      <w:jc w:val="center"/>
    </w:pPr>
  </w:style>
  <w:style w:type="paragraph" w:customStyle="1" w:styleId="FSCoDraftstrip">
    <w:name w:val="FSC_o_Draft_strip"/>
    <w:basedOn w:val="Normal"/>
    <w:rsid w:val="00781A77"/>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81A77"/>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81A77"/>
    <w:pPr>
      <w:widowControl/>
      <w:spacing w:before="80"/>
    </w:pPr>
    <w:rPr>
      <w:color w:val="7030A0"/>
      <w:lang w:eastAsia="en-AU" w:bidi="ar-SA"/>
    </w:rPr>
  </w:style>
  <w:style w:type="paragraph" w:customStyle="1" w:styleId="FSCoFooter">
    <w:name w:val="FSC_o_Footer"/>
    <w:basedOn w:val="Normal"/>
    <w:rsid w:val="00781A77"/>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81A77"/>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81A77"/>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81A77"/>
    <w:rPr>
      <w:rFonts w:ascii="Arial" w:hAnsi="Arial"/>
      <w:b/>
      <w:noProof/>
      <w:szCs w:val="24"/>
      <w:lang w:eastAsia="en-AU"/>
    </w:rPr>
  </w:style>
  <w:style w:type="paragraph" w:customStyle="1" w:styleId="FSCoParaMark">
    <w:name w:val="FSC_o_Para_Mark"/>
    <w:basedOn w:val="Normal"/>
    <w:next w:val="Normal"/>
    <w:qFormat/>
    <w:rsid w:val="00781A77"/>
    <w:pPr>
      <w:widowControl/>
    </w:pPr>
    <w:rPr>
      <w:sz w:val="16"/>
      <w:lang w:eastAsia="en-AU" w:bidi="ar-SA"/>
    </w:rPr>
  </w:style>
  <w:style w:type="paragraph" w:customStyle="1" w:styleId="FSCoStandardEnd">
    <w:name w:val="FSC_o_Standard_End"/>
    <w:basedOn w:val="FSCtMain"/>
    <w:qFormat/>
    <w:rsid w:val="00781A77"/>
    <w:pPr>
      <w:spacing w:before="240" w:after="0"/>
      <w:jc w:val="center"/>
    </w:pPr>
    <w:rPr>
      <w:iCs w:val="0"/>
    </w:rPr>
  </w:style>
  <w:style w:type="paragraph" w:customStyle="1" w:styleId="FSCoTitleofInstrument">
    <w:name w:val="FSC_o_Title_of_Instrument"/>
    <w:basedOn w:val="Normal"/>
    <w:rsid w:val="00781A77"/>
    <w:pPr>
      <w:widowControl/>
      <w:spacing w:before="200"/>
    </w:pPr>
    <w:rPr>
      <w:b/>
      <w:sz w:val="32"/>
      <w:lang w:eastAsia="en-AU" w:bidi="ar-SA"/>
    </w:rPr>
  </w:style>
  <w:style w:type="paragraph" w:customStyle="1" w:styleId="FSCoutChap">
    <w:name w:val="FSC_out_Chap"/>
    <w:basedOn w:val="FSCh4Div"/>
    <w:qFormat/>
    <w:rsid w:val="00781A77"/>
    <w:pPr>
      <w:tabs>
        <w:tab w:val="left" w:pos="1701"/>
      </w:tabs>
      <w:spacing w:after="120"/>
      <w:ind w:left="3402" w:hanging="3402"/>
    </w:pPr>
  </w:style>
  <w:style w:type="paragraph" w:customStyle="1" w:styleId="FSCoutPart">
    <w:name w:val="FSC_out_Part"/>
    <w:basedOn w:val="FSCh5Section"/>
    <w:qFormat/>
    <w:rsid w:val="00781A77"/>
    <w:pPr>
      <w:keepNext w:val="0"/>
      <w:tabs>
        <w:tab w:val="left" w:pos="1701"/>
      </w:tabs>
      <w:ind w:left="3402" w:hanging="3402"/>
    </w:pPr>
  </w:style>
  <w:style w:type="paragraph" w:customStyle="1" w:styleId="FSCoutStand">
    <w:name w:val="FSC_out_Stand"/>
    <w:basedOn w:val="FSCtMain"/>
    <w:qFormat/>
    <w:rsid w:val="00781A77"/>
    <w:pPr>
      <w:tabs>
        <w:tab w:val="clear" w:pos="1134"/>
        <w:tab w:val="left" w:pos="1701"/>
      </w:tabs>
      <w:ind w:left="3402" w:hanging="3402"/>
    </w:pPr>
  </w:style>
  <w:style w:type="paragraph" w:customStyle="1" w:styleId="FSCtblAddh1">
    <w:name w:val="FSC_tbl_Add_h1"/>
    <w:basedOn w:val="FSCh4Div"/>
    <w:rsid w:val="00781A77"/>
    <w:pPr>
      <w:spacing w:before="120" w:after="120"/>
    </w:pPr>
    <w:rPr>
      <w:rFonts w:eastAsiaTheme="minorHAnsi"/>
      <w:sz w:val="20"/>
      <w:lang w:eastAsia="en-US"/>
    </w:rPr>
  </w:style>
  <w:style w:type="paragraph" w:customStyle="1" w:styleId="FSCtblAddh2">
    <w:name w:val="FSC_tbl_Add_h2"/>
    <w:basedOn w:val="FSCtblAddh1"/>
    <w:rsid w:val="00781A77"/>
    <w:pPr>
      <w:spacing w:before="60" w:after="60"/>
    </w:pPr>
    <w:rPr>
      <w:i/>
    </w:rPr>
  </w:style>
  <w:style w:type="paragraph" w:customStyle="1" w:styleId="FSCtblAddh3">
    <w:name w:val="FSC_tbl_Add_h3"/>
    <w:basedOn w:val="Normal"/>
    <w:rsid w:val="00781A77"/>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81A77"/>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81A77"/>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81A77"/>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81A77"/>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81A77"/>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81A77"/>
    <w:pPr>
      <w:widowControl/>
      <w:ind w:left="113" w:hanging="113"/>
    </w:pPr>
    <w:rPr>
      <w:bCs/>
      <w:sz w:val="16"/>
      <w:szCs w:val="20"/>
      <w:lang w:bidi="ar-SA"/>
    </w:rPr>
  </w:style>
  <w:style w:type="paragraph" w:customStyle="1" w:styleId="FSCtblh2">
    <w:name w:val="FSC_tbl_h2"/>
    <w:basedOn w:val="Normal"/>
    <w:qFormat/>
    <w:rsid w:val="00781A77"/>
    <w:pPr>
      <w:keepNext/>
      <w:keepLines/>
      <w:widowControl/>
      <w:spacing w:before="240" w:after="120"/>
      <w:jc w:val="center"/>
    </w:pPr>
    <w:rPr>
      <w:rFonts w:cs="Arial"/>
      <w:b/>
      <w:color w:val="000000"/>
      <w:sz w:val="18"/>
      <w:szCs w:val="22"/>
      <w:lang w:eastAsia="en-AU" w:bidi="ar-SA"/>
    </w:rPr>
  </w:style>
  <w:style w:type="paragraph" w:customStyle="1" w:styleId="FSCtblh4">
    <w:name w:val="FSC_tbl_h4"/>
    <w:basedOn w:val="Normal"/>
    <w:next w:val="Normal"/>
    <w:rsid w:val="00781A77"/>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781A77"/>
    <w:pPr>
      <w:jc w:val="center"/>
    </w:pPr>
    <w:rPr>
      <w:rFonts w:eastAsiaTheme="minorHAnsi"/>
      <w:lang w:eastAsia="en-US"/>
    </w:rPr>
  </w:style>
  <w:style w:type="paragraph" w:customStyle="1" w:styleId="FSCtblMainRH">
    <w:name w:val="FSC_tbl_Main_RH"/>
    <w:basedOn w:val="FSCtblMain"/>
    <w:qFormat/>
    <w:rsid w:val="00781A77"/>
    <w:pPr>
      <w:jc w:val="right"/>
    </w:pPr>
    <w:rPr>
      <w:rFonts w:eastAsiaTheme="minorHAnsi"/>
      <w:lang w:eastAsia="en-US"/>
    </w:rPr>
  </w:style>
  <w:style w:type="paragraph" w:customStyle="1" w:styleId="FSCtblMRL1">
    <w:name w:val="FSC_tbl_MRL1"/>
    <w:basedOn w:val="Normal"/>
    <w:rsid w:val="00781A77"/>
    <w:pPr>
      <w:keepLines/>
      <w:widowControl/>
      <w:spacing w:before="20" w:after="20"/>
    </w:pPr>
    <w:rPr>
      <w:rFonts w:cs="Arial"/>
      <w:sz w:val="18"/>
      <w:szCs w:val="20"/>
      <w:lang w:eastAsia="en-AU" w:bidi="ar-SA"/>
    </w:rPr>
  </w:style>
  <w:style w:type="paragraph" w:customStyle="1" w:styleId="FSCtblMRL2">
    <w:name w:val="FSC_tbl_MRL2"/>
    <w:basedOn w:val="FSCtblMRL1"/>
    <w:qFormat/>
    <w:rsid w:val="00781A77"/>
    <w:pPr>
      <w:jc w:val="right"/>
    </w:pPr>
    <w:rPr>
      <w:rFonts w:eastAsiaTheme="minorHAnsi"/>
      <w:lang w:eastAsia="en-US"/>
    </w:rPr>
  </w:style>
  <w:style w:type="paragraph" w:customStyle="1" w:styleId="FSCtblPara">
    <w:name w:val="FSC_tbl_Para"/>
    <w:basedOn w:val="Normal"/>
    <w:rsid w:val="00781A77"/>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81A77"/>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99"/>
    <w:rsid w:val="006E10A1"/>
    <w:rPr>
      <w:rFonts w:ascii="Arial" w:hAnsi="Arial"/>
      <w:lang w:eastAsia="en-US" w:bidi="en-US"/>
    </w:rPr>
  </w:style>
  <w:style w:type="paragraph" w:styleId="ListParagraph">
    <w:name w:val="List Paragraph"/>
    <w:basedOn w:val="Normal"/>
    <w:uiPriority w:val="34"/>
    <w:qFormat/>
    <w:rsid w:val="005C640C"/>
    <w:pPr>
      <w:ind w:left="720"/>
      <w:contextualSpacing/>
    </w:pPr>
  </w:style>
  <w:style w:type="table" w:customStyle="1" w:styleId="TableGrid1">
    <w:name w:val="Table Grid1"/>
    <w:basedOn w:val="TableNormal"/>
    <w:next w:val="TableGrid"/>
    <w:uiPriority w:val="59"/>
    <w:rsid w:val="002E047A"/>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2E047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Main">
    <w:name w:val="FSC_t_Main"/>
    <w:basedOn w:val="FSCbasepara"/>
    <w:rsid w:val="00781A77"/>
    <w:pPr>
      <w:keepLines w:val="0"/>
      <w:widowControl w:val="0"/>
      <w:tabs>
        <w:tab w:val="left" w:pos="1134"/>
      </w:tabs>
      <w:spacing w:after="120"/>
    </w:pPr>
  </w:style>
  <w:style w:type="paragraph" w:customStyle="1" w:styleId="FSCnatHeading">
    <w:name w:val="FSC_n_at_Heading"/>
    <w:basedOn w:val="FSCtMain"/>
    <w:qFormat/>
    <w:rsid w:val="00781A77"/>
    <w:pPr>
      <w:ind w:left="851" w:hanging="851"/>
    </w:pPr>
    <w:rPr>
      <w:sz w:val="16"/>
    </w:rPr>
  </w:style>
  <w:style w:type="paragraph" w:customStyle="1" w:styleId="FSCnMain">
    <w:name w:val="FSC_n_Main"/>
    <w:basedOn w:val="FSCtPara"/>
    <w:qFormat/>
    <w:rsid w:val="00781A77"/>
    <w:rPr>
      <w:iCs w:val="0"/>
      <w:sz w:val="16"/>
      <w:szCs w:val="18"/>
    </w:rPr>
  </w:style>
  <w:style w:type="paragraph" w:customStyle="1" w:styleId="FSCtDefn">
    <w:name w:val="FSC_t_Defn"/>
    <w:basedOn w:val="FSCtMain"/>
    <w:rsid w:val="00781A77"/>
    <w:pPr>
      <w:ind w:firstLine="0"/>
    </w:pPr>
  </w:style>
  <w:style w:type="paragraph" w:customStyle="1" w:styleId="FSCtblh3">
    <w:name w:val="FSC_tbl_h3"/>
    <w:basedOn w:val="Normal"/>
    <w:next w:val="Normal"/>
    <w:rsid w:val="00781A77"/>
    <w:pPr>
      <w:keepNext/>
      <w:keepLines/>
      <w:widowControl/>
      <w:spacing w:before="60" w:after="60"/>
    </w:pPr>
    <w:rPr>
      <w:rFonts w:cs="Arial"/>
      <w:b/>
      <w:i/>
      <w:sz w:val="18"/>
      <w:szCs w:val="22"/>
      <w:lang w:eastAsia="en-AU" w:bidi="ar-SA"/>
    </w:rPr>
  </w:style>
  <w:style w:type="paragraph" w:customStyle="1" w:styleId="FSCtblMain">
    <w:name w:val="FSC_tbl_Main"/>
    <w:basedOn w:val="Normal"/>
    <w:rsid w:val="00781A77"/>
    <w:pPr>
      <w:keepLines/>
      <w:widowControl/>
      <w:tabs>
        <w:tab w:val="right" w:pos="3969"/>
      </w:tabs>
      <w:spacing w:before="60" w:after="60"/>
    </w:pPr>
    <w:rPr>
      <w:rFonts w:cs="Arial"/>
      <w:sz w:val="18"/>
      <w:szCs w:val="20"/>
      <w:lang w:eastAsia="en-AU" w:bidi="ar-SA"/>
    </w:rPr>
  </w:style>
  <w:style w:type="table" w:customStyle="1" w:styleId="TableGrid2">
    <w:name w:val="Table Grid2"/>
    <w:basedOn w:val="TableNormal"/>
    <w:next w:val="TableGrid"/>
    <w:uiPriority w:val="59"/>
    <w:rsid w:val="002E047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Char">
    <w:name w:val="Clause Char"/>
    <w:basedOn w:val="DefaultParagraphFont"/>
    <w:link w:val="Clause"/>
    <w:rsid w:val="008F6011"/>
    <w:rPr>
      <w:rFonts w:ascii="Arial" w:hAnsi="Arial"/>
      <w:lang w:eastAsia="en-US" w:bidi="en-US"/>
    </w:rPr>
  </w:style>
  <w:style w:type="paragraph" w:customStyle="1" w:styleId="NormalBase">
    <w:name w:val="Normal Base"/>
    <w:semiHidden/>
    <w:rsid w:val="00C672AF"/>
    <w:pPr>
      <w:spacing w:before="140" w:after="140" w:line="280" w:lineRule="atLeast"/>
    </w:pPr>
    <w:rPr>
      <w:rFonts w:ascii="Arial" w:hAnsi="Arial" w:cs="Arial"/>
      <w:sz w:val="22"/>
      <w:szCs w:val="22"/>
      <w:lang w:val="en-AU" w:eastAsia="en-AU"/>
    </w:rPr>
  </w:style>
  <w:style w:type="paragraph" w:customStyle="1" w:styleId="FSCDraftingitem">
    <w:name w:val="FSC_Drafting_item"/>
    <w:basedOn w:val="Normal"/>
    <w:qFormat/>
    <w:rsid w:val="00781A7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81A77"/>
    <w:pPr>
      <w:spacing w:before="120" w:after="120"/>
      <w:ind w:left="851" w:hanging="851"/>
    </w:pPr>
    <w:rPr>
      <w:b/>
      <w:sz w:val="20"/>
      <w:szCs w:val="20"/>
      <w:lang w:bidi="ar-SA"/>
    </w:rPr>
  </w:style>
  <w:style w:type="paragraph" w:customStyle="1" w:styleId="FSCbaseheading">
    <w:name w:val="FSC_base_heading"/>
    <w:rsid w:val="00781A77"/>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781A77"/>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81A77"/>
    <w:pPr>
      <w:spacing w:before="60" w:after="60"/>
      <w:ind w:left="0" w:firstLine="0"/>
    </w:pPr>
    <w:rPr>
      <w:sz w:val="18"/>
    </w:rPr>
  </w:style>
  <w:style w:type="paragraph" w:customStyle="1" w:styleId="FSCbaseTOC">
    <w:name w:val="FSC_base_TOC"/>
    <w:rsid w:val="00781A77"/>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781A77"/>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81A77"/>
    <w:pPr>
      <w:spacing w:before="0" w:after="240"/>
      <w:outlineLvl w:val="0"/>
    </w:pPr>
    <w:rPr>
      <w:bCs w:val="0"/>
      <w:sz w:val="40"/>
    </w:rPr>
  </w:style>
  <w:style w:type="paragraph" w:customStyle="1" w:styleId="FSCh2Part">
    <w:name w:val="FSC_h2_Part"/>
    <w:basedOn w:val="FSCbaseheading"/>
    <w:next w:val="Normal"/>
    <w:qFormat/>
    <w:rsid w:val="00781A77"/>
    <w:pPr>
      <w:spacing w:before="240" w:after="240"/>
      <w:outlineLvl w:val="1"/>
    </w:pPr>
    <w:rPr>
      <w:bCs w:val="0"/>
      <w:sz w:val="36"/>
      <w:szCs w:val="22"/>
    </w:rPr>
  </w:style>
  <w:style w:type="paragraph" w:customStyle="1" w:styleId="FSCh3Standard">
    <w:name w:val="FSC_h3_Standard"/>
    <w:basedOn w:val="FSCbaseheading"/>
    <w:next w:val="Normal"/>
    <w:qFormat/>
    <w:rsid w:val="00781A77"/>
    <w:pPr>
      <w:spacing w:before="0" w:after="240"/>
      <w:outlineLvl w:val="2"/>
    </w:pPr>
    <w:rPr>
      <w:sz w:val="32"/>
    </w:rPr>
  </w:style>
  <w:style w:type="paragraph" w:customStyle="1" w:styleId="FSCh3Contents">
    <w:name w:val="FSC_h3_Contents"/>
    <w:basedOn w:val="FSCh3Standard"/>
    <w:rsid w:val="00781A77"/>
    <w:pPr>
      <w:ind w:left="0" w:firstLine="0"/>
      <w:jc w:val="center"/>
    </w:pPr>
  </w:style>
  <w:style w:type="paragraph" w:customStyle="1" w:styleId="FSCh4Div">
    <w:name w:val="FSC_h4_Div"/>
    <w:basedOn w:val="FSCbaseheading"/>
    <w:next w:val="Normal"/>
    <w:qFormat/>
    <w:rsid w:val="00781A7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81A77"/>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781A77"/>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781A77"/>
    <w:pPr>
      <w:keepLines w:val="0"/>
      <w:widowControl w:val="0"/>
      <w:spacing w:before="120" w:after="60"/>
      <w:ind w:left="1701" w:firstLine="0"/>
    </w:pPr>
    <w:rPr>
      <w:b w:val="0"/>
      <w:i/>
      <w:sz w:val="20"/>
    </w:rPr>
  </w:style>
  <w:style w:type="paragraph" w:customStyle="1" w:styleId="FSCtPara">
    <w:name w:val="FSC_t_Para"/>
    <w:basedOn w:val="FSCtMain"/>
    <w:qFormat/>
    <w:rsid w:val="00781A77"/>
    <w:pPr>
      <w:tabs>
        <w:tab w:val="clear" w:pos="1134"/>
        <w:tab w:val="left" w:pos="1701"/>
      </w:tabs>
      <w:spacing w:before="60" w:after="60"/>
      <w:ind w:left="2268" w:hanging="2268"/>
    </w:pPr>
  </w:style>
  <w:style w:type="paragraph" w:customStyle="1" w:styleId="FSCtSubpara">
    <w:name w:val="FSC_t_Subpara"/>
    <w:basedOn w:val="FSCtMain"/>
    <w:qFormat/>
    <w:rsid w:val="00781A77"/>
    <w:pPr>
      <w:tabs>
        <w:tab w:val="clear" w:pos="1134"/>
        <w:tab w:val="left" w:pos="2268"/>
      </w:tabs>
      <w:spacing w:before="60" w:after="60"/>
      <w:ind w:left="2835" w:hanging="2835"/>
    </w:pPr>
  </w:style>
  <w:style w:type="paragraph" w:customStyle="1" w:styleId="FSCnPara">
    <w:name w:val="FSC_n_Para"/>
    <w:basedOn w:val="FSCtSubpara"/>
    <w:qFormat/>
    <w:rsid w:val="00781A77"/>
    <w:rPr>
      <w:sz w:val="16"/>
    </w:rPr>
  </w:style>
  <w:style w:type="paragraph" w:customStyle="1" w:styleId="FSCtSubsub">
    <w:name w:val="FSC_t_Subsub"/>
    <w:basedOn w:val="FSCtPara"/>
    <w:qFormat/>
    <w:rsid w:val="00781A77"/>
    <w:pPr>
      <w:tabs>
        <w:tab w:val="clear" w:pos="1701"/>
        <w:tab w:val="left" w:pos="2835"/>
      </w:tabs>
      <w:ind w:left="3402" w:hanging="3402"/>
    </w:pPr>
  </w:style>
  <w:style w:type="paragraph" w:customStyle="1" w:styleId="FSCnSubpara">
    <w:name w:val="FSC_n_Subpara"/>
    <w:basedOn w:val="FSCtSubsub"/>
    <w:qFormat/>
    <w:rsid w:val="00781A77"/>
    <w:rPr>
      <w:sz w:val="16"/>
    </w:rPr>
  </w:style>
  <w:style w:type="paragraph" w:customStyle="1" w:styleId="FSCnSubsub">
    <w:name w:val="FSC_n_Subsub"/>
    <w:basedOn w:val="FSCnSubpara"/>
    <w:qFormat/>
    <w:rsid w:val="00781A77"/>
    <w:pPr>
      <w:tabs>
        <w:tab w:val="clear" w:pos="2835"/>
        <w:tab w:val="left" w:pos="3402"/>
      </w:tabs>
      <w:ind w:left="3969" w:hanging="3969"/>
    </w:pPr>
  </w:style>
  <w:style w:type="paragraph" w:customStyle="1" w:styleId="FSCoContents">
    <w:name w:val="FSC_o_Contents"/>
    <w:basedOn w:val="FSCh2Part"/>
    <w:rsid w:val="00781A77"/>
    <w:pPr>
      <w:ind w:left="0" w:firstLine="0"/>
      <w:jc w:val="center"/>
    </w:pPr>
  </w:style>
  <w:style w:type="paragraph" w:customStyle="1" w:styleId="FSCoDraftstrip">
    <w:name w:val="FSC_o_Draft_strip"/>
    <w:basedOn w:val="Normal"/>
    <w:rsid w:val="00781A77"/>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81A77"/>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81A77"/>
    <w:pPr>
      <w:widowControl/>
      <w:spacing w:before="80"/>
    </w:pPr>
    <w:rPr>
      <w:color w:val="7030A0"/>
      <w:lang w:eastAsia="en-AU" w:bidi="ar-SA"/>
    </w:rPr>
  </w:style>
  <w:style w:type="paragraph" w:customStyle="1" w:styleId="FSCoFooter">
    <w:name w:val="FSC_o_Footer"/>
    <w:basedOn w:val="Normal"/>
    <w:rsid w:val="00781A77"/>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81A77"/>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81A77"/>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81A77"/>
    <w:rPr>
      <w:rFonts w:ascii="Arial" w:hAnsi="Arial"/>
      <w:b/>
      <w:noProof/>
      <w:szCs w:val="24"/>
      <w:lang w:eastAsia="en-AU"/>
    </w:rPr>
  </w:style>
  <w:style w:type="paragraph" w:customStyle="1" w:styleId="FSCoParaMark">
    <w:name w:val="FSC_o_Para_Mark"/>
    <w:basedOn w:val="Normal"/>
    <w:next w:val="Normal"/>
    <w:qFormat/>
    <w:rsid w:val="00781A77"/>
    <w:pPr>
      <w:widowControl/>
    </w:pPr>
    <w:rPr>
      <w:sz w:val="16"/>
      <w:lang w:eastAsia="en-AU" w:bidi="ar-SA"/>
    </w:rPr>
  </w:style>
  <w:style w:type="paragraph" w:customStyle="1" w:styleId="FSCoStandardEnd">
    <w:name w:val="FSC_o_Standard_End"/>
    <w:basedOn w:val="FSCtMain"/>
    <w:qFormat/>
    <w:rsid w:val="00781A77"/>
    <w:pPr>
      <w:spacing w:before="240" w:after="0"/>
      <w:jc w:val="center"/>
    </w:pPr>
    <w:rPr>
      <w:iCs w:val="0"/>
    </w:rPr>
  </w:style>
  <w:style w:type="paragraph" w:customStyle="1" w:styleId="FSCoTitleofInstrument">
    <w:name w:val="FSC_o_Title_of_Instrument"/>
    <w:basedOn w:val="Normal"/>
    <w:rsid w:val="00781A77"/>
    <w:pPr>
      <w:widowControl/>
      <w:spacing w:before="200"/>
    </w:pPr>
    <w:rPr>
      <w:b/>
      <w:sz w:val="32"/>
      <w:lang w:eastAsia="en-AU" w:bidi="ar-SA"/>
    </w:rPr>
  </w:style>
  <w:style w:type="paragraph" w:customStyle="1" w:styleId="FSCoutChap">
    <w:name w:val="FSC_out_Chap"/>
    <w:basedOn w:val="FSCh4Div"/>
    <w:qFormat/>
    <w:rsid w:val="00781A77"/>
    <w:pPr>
      <w:tabs>
        <w:tab w:val="left" w:pos="1701"/>
      </w:tabs>
      <w:spacing w:after="120"/>
      <w:ind w:left="3402" w:hanging="3402"/>
    </w:pPr>
  </w:style>
  <w:style w:type="paragraph" w:customStyle="1" w:styleId="FSCoutPart">
    <w:name w:val="FSC_out_Part"/>
    <w:basedOn w:val="FSCh5Section"/>
    <w:qFormat/>
    <w:rsid w:val="00781A77"/>
    <w:pPr>
      <w:keepNext w:val="0"/>
      <w:tabs>
        <w:tab w:val="left" w:pos="1701"/>
      </w:tabs>
      <w:ind w:left="3402" w:hanging="3402"/>
    </w:pPr>
  </w:style>
  <w:style w:type="paragraph" w:customStyle="1" w:styleId="FSCoutStand">
    <w:name w:val="FSC_out_Stand"/>
    <w:basedOn w:val="FSCtMain"/>
    <w:qFormat/>
    <w:rsid w:val="00781A77"/>
    <w:pPr>
      <w:tabs>
        <w:tab w:val="clear" w:pos="1134"/>
        <w:tab w:val="left" w:pos="1701"/>
      </w:tabs>
      <w:ind w:left="3402" w:hanging="3402"/>
    </w:pPr>
  </w:style>
  <w:style w:type="paragraph" w:customStyle="1" w:styleId="FSCtblAddh1">
    <w:name w:val="FSC_tbl_Add_h1"/>
    <w:basedOn w:val="FSCh4Div"/>
    <w:rsid w:val="00781A77"/>
    <w:pPr>
      <w:spacing w:before="120" w:after="120"/>
    </w:pPr>
    <w:rPr>
      <w:rFonts w:eastAsiaTheme="minorHAnsi"/>
      <w:sz w:val="20"/>
      <w:lang w:eastAsia="en-US"/>
    </w:rPr>
  </w:style>
  <w:style w:type="paragraph" w:customStyle="1" w:styleId="FSCtblAddh2">
    <w:name w:val="FSC_tbl_Add_h2"/>
    <w:basedOn w:val="FSCtblAddh1"/>
    <w:rsid w:val="00781A77"/>
    <w:pPr>
      <w:spacing w:before="60" w:after="60"/>
    </w:pPr>
    <w:rPr>
      <w:i/>
    </w:rPr>
  </w:style>
  <w:style w:type="paragraph" w:customStyle="1" w:styleId="FSCtblAddh3">
    <w:name w:val="FSC_tbl_Add_h3"/>
    <w:basedOn w:val="Normal"/>
    <w:rsid w:val="00781A77"/>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81A77"/>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81A77"/>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81A77"/>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81A77"/>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81A77"/>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81A77"/>
    <w:pPr>
      <w:widowControl/>
      <w:ind w:left="113" w:hanging="113"/>
    </w:pPr>
    <w:rPr>
      <w:bCs/>
      <w:sz w:val="16"/>
      <w:szCs w:val="20"/>
      <w:lang w:bidi="ar-SA"/>
    </w:rPr>
  </w:style>
  <w:style w:type="paragraph" w:customStyle="1" w:styleId="FSCtblh2">
    <w:name w:val="FSC_tbl_h2"/>
    <w:basedOn w:val="Normal"/>
    <w:qFormat/>
    <w:rsid w:val="00781A77"/>
    <w:pPr>
      <w:keepNext/>
      <w:keepLines/>
      <w:widowControl/>
      <w:spacing w:before="240" w:after="120"/>
      <w:jc w:val="center"/>
    </w:pPr>
    <w:rPr>
      <w:rFonts w:cs="Arial"/>
      <w:b/>
      <w:color w:val="000000"/>
      <w:sz w:val="18"/>
      <w:szCs w:val="22"/>
      <w:lang w:eastAsia="en-AU" w:bidi="ar-SA"/>
    </w:rPr>
  </w:style>
  <w:style w:type="paragraph" w:customStyle="1" w:styleId="FSCtblh4">
    <w:name w:val="FSC_tbl_h4"/>
    <w:basedOn w:val="Normal"/>
    <w:next w:val="Normal"/>
    <w:rsid w:val="00781A77"/>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781A77"/>
    <w:pPr>
      <w:jc w:val="center"/>
    </w:pPr>
    <w:rPr>
      <w:rFonts w:eastAsiaTheme="minorHAnsi"/>
      <w:lang w:eastAsia="en-US"/>
    </w:rPr>
  </w:style>
  <w:style w:type="paragraph" w:customStyle="1" w:styleId="FSCtblMainRH">
    <w:name w:val="FSC_tbl_Main_RH"/>
    <w:basedOn w:val="FSCtblMain"/>
    <w:qFormat/>
    <w:rsid w:val="00781A77"/>
    <w:pPr>
      <w:jc w:val="right"/>
    </w:pPr>
    <w:rPr>
      <w:rFonts w:eastAsiaTheme="minorHAnsi"/>
      <w:lang w:eastAsia="en-US"/>
    </w:rPr>
  </w:style>
  <w:style w:type="paragraph" w:customStyle="1" w:styleId="FSCtblMRL1">
    <w:name w:val="FSC_tbl_MRL1"/>
    <w:basedOn w:val="Normal"/>
    <w:rsid w:val="00781A77"/>
    <w:pPr>
      <w:keepLines/>
      <w:widowControl/>
      <w:spacing w:before="20" w:after="20"/>
    </w:pPr>
    <w:rPr>
      <w:rFonts w:cs="Arial"/>
      <w:sz w:val="18"/>
      <w:szCs w:val="20"/>
      <w:lang w:eastAsia="en-AU" w:bidi="ar-SA"/>
    </w:rPr>
  </w:style>
  <w:style w:type="paragraph" w:customStyle="1" w:styleId="FSCtblMRL2">
    <w:name w:val="FSC_tbl_MRL2"/>
    <w:basedOn w:val="FSCtblMRL1"/>
    <w:qFormat/>
    <w:rsid w:val="00781A77"/>
    <w:pPr>
      <w:jc w:val="right"/>
    </w:pPr>
    <w:rPr>
      <w:rFonts w:eastAsiaTheme="minorHAnsi"/>
      <w:lang w:eastAsia="en-US"/>
    </w:rPr>
  </w:style>
  <w:style w:type="paragraph" w:customStyle="1" w:styleId="FSCtblPara">
    <w:name w:val="FSC_tbl_Para"/>
    <w:basedOn w:val="Normal"/>
    <w:rsid w:val="00781A77"/>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81A77"/>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301616228">
      <w:bodyDiv w:val="1"/>
      <w:marLeft w:val="0"/>
      <w:marRight w:val="0"/>
      <w:marTop w:val="0"/>
      <w:marBottom w:val="0"/>
      <w:divBdr>
        <w:top w:val="none" w:sz="0" w:space="0" w:color="auto"/>
        <w:left w:val="none" w:sz="0" w:space="0" w:color="auto"/>
        <w:bottom w:val="none" w:sz="0" w:space="0" w:color="auto"/>
        <w:right w:val="none" w:sz="0" w:space="0" w:color="auto"/>
      </w:divBdr>
    </w:div>
    <w:div w:id="147247789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98207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dexalimentarius.org/standards/list-standards/en/?no_cache=1" TargetMode="External"/><Relationship Id="rId2" Type="http://schemas.openxmlformats.org/officeDocument/2006/relationships/numbering" Target="numbering.xml"/><Relationship Id="rId16" Type="http://schemas.openxmlformats.org/officeDocument/2006/relationships/hyperlink" Target="http://www.foodstandards.gov.au/code/proposals/Pages/P1039MicroReviewInfantFormula.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1039MicroReviewInfantFormula.aspx" TargetMode="External"/><Relationship Id="rId1" Type="http://schemas.openxmlformats.org/officeDocument/2006/relationships/hyperlink" Target="http://www.foodstandards.gov.au/code/microbiollimits/Pages/Review-of-microbiological-criteria-(second-st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ACC89-47E6-45CF-A81A-BAD8509DF616}"/>
</file>

<file path=customXml/itemProps2.xml><?xml version="1.0" encoding="utf-8"?>
<ds:datastoreItem xmlns:ds="http://schemas.openxmlformats.org/officeDocument/2006/customXml" ds:itemID="{E6F1A613-F899-4E61-BCE2-0C422AE1A506}"/>
</file>

<file path=customXml/itemProps3.xml><?xml version="1.0" encoding="utf-8"?>
<ds:datastoreItem xmlns:ds="http://schemas.openxmlformats.org/officeDocument/2006/customXml" ds:itemID="{CAA00552-6AAC-4EA5-85D8-0B1CB66546DC}"/>
</file>

<file path=customXml/itemProps4.xml><?xml version="1.0" encoding="utf-8"?>
<ds:datastoreItem xmlns:ds="http://schemas.openxmlformats.org/officeDocument/2006/customXml" ds:itemID="{392F5149-0C3B-43E5-92D5-0545E251914C}"/>
</file>

<file path=docProps/app.xml><?xml version="1.0" encoding="utf-8"?>
<Properties xmlns="http://schemas.openxmlformats.org/officeDocument/2006/extended-properties" xmlns:vt="http://schemas.openxmlformats.org/officeDocument/2006/docPropsVTypes">
  <Template>Normal</Template>
  <TotalTime>0</TotalTime>
  <Pages>20</Pages>
  <Words>5897</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P1039-MicroReview-AppR</dc:title>
  <dc:creator/>
  <cp:keywords/>
  <cp:lastModifiedBy/>
  <cp:revision>1</cp:revision>
  <dcterms:created xsi:type="dcterms:W3CDTF">2016-03-10T03:35:00Z</dcterms:created>
  <dcterms:modified xsi:type="dcterms:W3CDTF">2016-03-10T03:35:00Z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