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36D" w14:textId="77777777" w:rsidR="00330EE0" w:rsidRDefault="00330EE0" w:rsidP="00E203C2">
      <w:bookmarkStart w:id="0" w:name="_GoBack"/>
      <w:bookmarkEnd w:id="0"/>
    </w:p>
    <w:p w14:paraId="76362082" w14:textId="38EBC9AF" w:rsidR="00E203C2" w:rsidRDefault="00E203C2" w:rsidP="00E203C2">
      <w:r>
        <w:rPr>
          <w:noProof/>
          <w:lang w:eastAsia="en-GB" w:bidi="ar-SA"/>
        </w:rPr>
        <w:drawing>
          <wp:inline distT="0" distB="0" distL="0" distR="0" wp14:anchorId="1B4D4004" wp14:editId="79BF9BA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58A0A7F" w14:textId="77777777" w:rsidR="00E203C2" w:rsidRDefault="00E203C2" w:rsidP="00E203C2"/>
    <w:p w14:paraId="6BC179EF" w14:textId="5C109232" w:rsidR="00BA24E2" w:rsidRPr="00932A90" w:rsidRDefault="00932A90" w:rsidP="00BA24E2">
      <w:pPr>
        <w:rPr>
          <w:b/>
          <w:sz w:val="28"/>
          <w:szCs w:val="28"/>
        </w:rPr>
      </w:pPr>
      <w:r w:rsidRPr="00932A90">
        <w:rPr>
          <w:b/>
          <w:sz w:val="28"/>
          <w:szCs w:val="28"/>
        </w:rPr>
        <w:t>5 February 2020</w:t>
      </w:r>
    </w:p>
    <w:p w14:paraId="786FB0D2" w14:textId="79B62323" w:rsidR="00BA24E2" w:rsidRDefault="00932A90" w:rsidP="00BA24E2">
      <w:pPr>
        <w:rPr>
          <w:b/>
          <w:sz w:val="28"/>
          <w:szCs w:val="28"/>
        </w:rPr>
      </w:pPr>
      <w:r w:rsidRPr="00932A90">
        <w:rPr>
          <w:b/>
          <w:sz w:val="28"/>
          <w:szCs w:val="28"/>
        </w:rPr>
        <w:t>[111</w:t>
      </w:r>
      <w:r w:rsidR="00CA7F35" w:rsidRPr="00932A90">
        <w:rPr>
          <w:b/>
          <w:sz w:val="28"/>
          <w:szCs w:val="28"/>
        </w:rPr>
        <w:t>–</w:t>
      </w:r>
      <w:r w:rsidRPr="00932A90">
        <w:rPr>
          <w:b/>
          <w:sz w:val="28"/>
          <w:szCs w:val="28"/>
        </w:rPr>
        <w:t>20</w:t>
      </w:r>
      <w:r w:rsidR="00BA24E2" w:rsidRPr="00932A90">
        <w:rPr>
          <w:b/>
          <w:sz w:val="28"/>
          <w:szCs w:val="28"/>
        </w:rPr>
        <w:t>]</w:t>
      </w:r>
    </w:p>
    <w:p w14:paraId="5B6EED4D" w14:textId="77777777" w:rsidR="00932A90" w:rsidRPr="00932A90" w:rsidRDefault="00932A90" w:rsidP="00BA24E2">
      <w:pPr>
        <w:rPr>
          <w:b/>
          <w:sz w:val="28"/>
          <w:szCs w:val="28"/>
        </w:rPr>
      </w:pPr>
    </w:p>
    <w:p w14:paraId="39093393" w14:textId="13E7338A" w:rsidR="00932A90" w:rsidRPr="00E203C2" w:rsidRDefault="001108DB" w:rsidP="00932A90">
      <w:pPr>
        <w:pStyle w:val="FSTitle"/>
      </w:pPr>
      <w:r>
        <w:rPr>
          <w:b/>
        </w:rPr>
        <w:t>1</w:t>
      </w:r>
      <w:r w:rsidRPr="001108DB">
        <w:rPr>
          <w:b/>
          <w:vertAlign w:val="superscript"/>
        </w:rPr>
        <w:t>st</w:t>
      </w:r>
      <w:r>
        <w:rPr>
          <w:b/>
        </w:rPr>
        <w:t xml:space="preserve"> </w:t>
      </w:r>
      <w:r w:rsidR="000427B2" w:rsidRPr="00351927">
        <w:rPr>
          <w:b/>
        </w:rPr>
        <w:t>C</w:t>
      </w:r>
      <w:r w:rsidR="00D8470F" w:rsidRPr="00351927">
        <w:rPr>
          <w:b/>
        </w:rPr>
        <w:t>all</w:t>
      </w:r>
      <w:r w:rsidR="000427B2" w:rsidRPr="00351927">
        <w:rPr>
          <w:b/>
        </w:rPr>
        <w:t xml:space="preserve"> </w:t>
      </w:r>
      <w:r w:rsidR="00D8470F" w:rsidRPr="00351927">
        <w:rPr>
          <w:b/>
        </w:rPr>
        <w:t>for</w:t>
      </w:r>
      <w:r w:rsidR="000427B2" w:rsidRPr="00351927">
        <w:rPr>
          <w:b/>
        </w:rPr>
        <w:t xml:space="preserve"> </w:t>
      </w:r>
      <w:r w:rsidR="00D8470F" w:rsidRPr="00351927">
        <w:rPr>
          <w:b/>
        </w:rPr>
        <w:t>submissions</w:t>
      </w:r>
      <w:r w:rsidR="000427B2" w:rsidRPr="00351927">
        <w:rPr>
          <w:b/>
        </w:rPr>
        <w:t xml:space="preserve"> –</w:t>
      </w:r>
      <w:r w:rsidR="00C426E8">
        <w:rPr>
          <w:b/>
        </w:rPr>
        <w:t xml:space="preserve"> </w:t>
      </w:r>
      <w:r w:rsidR="00E203C2" w:rsidRPr="00C426E8">
        <w:rPr>
          <w:b/>
        </w:rPr>
        <w:t>P</w:t>
      </w:r>
      <w:r w:rsidR="00A91DF1" w:rsidRPr="00C426E8">
        <w:rPr>
          <w:b/>
        </w:rPr>
        <w:t>roposal</w:t>
      </w:r>
      <w:r w:rsidR="00C426E8">
        <w:rPr>
          <w:b/>
        </w:rPr>
        <w:t xml:space="preserve"> </w:t>
      </w:r>
      <w:r w:rsidR="00E203C2" w:rsidRPr="00C426E8">
        <w:rPr>
          <w:b/>
        </w:rPr>
        <w:t>P</w:t>
      </w:r>
      <w:r w:rsidR="00C426E8">
        <w:rPr>
          <w:b/>
        </w:rPr>
        <w:t>1052</w:t>
      </w:r>
    </w:p>
    <w:p w14:paraId="731CFFBF" w14:textId="1557BB08" w:rsidR="00D056F1" w:rsidRPr="00C426E8" w:rsidRDefault="00C426E8" w:rsidP="002432EE">
      <w:pPr>
        <w:pStyle w:val="FSTitle"/>
      </w:pPr>
      <w:r>
        <w:t>Primary Production and Pr</w:t>
      </w:r>
      <w:r w:rsidR="00282B2A">
        <w:t xml:space="preserve">ocessing Requirements for </w:t>
      </w:r>
      <w:r w:rsidR="001108DB">
        <w:t>h</w:t>
      </w:r>
      <w:r w:rsidR="00282B2A">
        <w:t>igh-r</w:t>
      </w:r>
      <w:r>
        <w:t xml:space="preserve">isk </w:t>
      </w:r>
      <w:r w:rsidR="001108DB">
        <w:t>h</w:t>
      </w:r>
      <w:r>
        <w:t xml:space="preserve">orticulture </w:t>
      </w:r>
    </w:p>
    <w:p w14:paraId="3A8C310E" w14:textId="77777777" w:rsidR="00E203C2" w:rsidRPr="00E81F6E" w:rsidRDefault="00E203C2" w:rsidP="00E203C2">
      <w:pPr>
        <w:pBdr>
          <w:bottom w:val="single" w:sz="12" w:space="1" w:color="auto"/>
        </w:pBdr>
        <w:spacing w:line="280" w:lineRule="exact"/>
        <w:rPr>
          <w:rFonts w:cs="Arial"/>
          <w:bCs/>
        </w:rPr>
      </w:pPr>
    </w:p>
    <w:p w14:paraId="541AADBD" w14:textId="77777777" w:rsidR="008C674E" w:rsidRDefault="008C674E" w:rsidP="00BA24E2">
      <w:pPr>
        <w:rPr>
          <w:sz w:val="20"/>
          <w:szCs w:val="20"/>
        </w:rPr>
      </w:pPr>
    </w:p>
    <w:p w14:paraId="306D65E4" w14:textId="2B9179D4" w:rsidR="00BA24E2" w:rsidRPr="00C426E8" w:rsidRDefault="00BA24E2" w:rsidP="00BA24E2">
      <w:pPr>
        <w:rPr>
          <w:sz w:val="20"/>
          <w:szCs w:val="20"/>
        </w:rPr>
      </w:pPr>
      <w:r w:rsidRPr="00A166B7">
        <w:rPr>
          <w:sz w:val="20"/>
          <w:szCs w:val="20"/>
        </w:rPr>
        <w:t xml:space="preserve">FSANZ </w:t>
      </w:r>
      <w:r w:rsidRPr="00053110">
        <w:rPr>
          <w:sz w:val="20"/>
          <w:szCs w:val="20"/>
        </w:rPr>
        <w:t>has assessed</w:t>
      </w:r>
      <w:r w:rsidRPr="00A166B7">
        <w:rPr>
          <w:sz w:val="20"/>
          <w:szCs w:val="20"/>
        </w:rPr>
        <w:t xml:space="preserve"> </w:t>
      </w:r>
      <w:r w:rsidR="00276026" w:rsidRPr="00A166B7">
        <w:rPr>
          <w:sz w:val="20"/>
          <w:szCs w:val="20"/>
        </w:rPr>
        <w:t xml:space="preserve">a Proposal </w:t>
      </w:r>
      <w:r w:rsidRPr="00A166B7">
        <w:rPr>
          <w:sz w:val="20"/>
          <w:szCs w:val="20"/>
        </w:rPr>
        <w:t xml:space="preserve">to </w:t>
      </w:r>
      <w:r w:rsidR="00A166B7" w:rsidRPr="00A166B7">
        <w:rPr>
          <w:sz w:val="20"/>
          <w:szCs w:val="20"/>
        </w:rPr>
        <w:t>develop</w:t>
      </w:r>
      <w:r w:rsidR="00610B99">
        <w:rPr>
          <w:sz w:val="20"/>
          <w:szCs w:val="20"/>
        </w:rPr>
        <w:t xml:space="preserve"> </w:t>
      </w:r>
      <w:r w:rsidR="00A166B7" w:rsidRPr="00A166B7">
        <w:rPr>
          <w:sz w:val="20"/>
          <w:szCs w:val="20"/>
        </w:rPr>
        <w:t>primary production and processing requirements</w:t>
      </w:r>
      <w:r w:rsidR="00610B99">
        <w:rPr>
          <w:sz w:val="20"/>
          <w:szCs w:val="20"/>
        </w:rPr>
        <w:t xml:space="preserve"> </w:t>
      </w:r>
      <w:r w:rsidR="00A166B7" w:rsidRPr="00A166B7">
        <w:rPr>
          <w:sz w:val="20"/>
          <w:szCs w:val="20"/>
        </w:rPr>
        <w:t>for fresh high-risk horticulture</w:t>
      </w:r>
      <w:r w:rsidR="00610B99" w:rsidRPr="00610B99">
        <w:rPr>
          <w:sz w:val="20"/>
          <w:szCs w:val="20"/>
        </w:rPr>
        <w:t xml:space="preserve"> </w:t>
      </w:r>
      <w:r w:rsidR="00610B99">
        <w:rPr>
          <w:sz w:val="20"/>
          <w:szCs w:val="20"/>
        </w:rPr>
        <w:t>in the Australia New Zealand Food Standards Code</w:t>
      </w:r>
      <w:r w:rsidR="00C426E8" w:rsidRPr="00A166B7">
        <w:rPr>
          <w:sz w:val="20"/>
          <w:szCs w:val="20"/>
        </w:rPr>
        <w:t xml:space="preserve">. </w:t>
      </w:r>
      <w:r w:rsidRPr="00C426E8">
        <w:rPr>
          <w:sz w:val="20"/>
          <w:szCs w:val="20"/>
        </w:rPr>
        <w:t xml:space="preserve">Pursuant to section 72 of the </w:t>
      </w:r>
      <w:r w:rsidRPr="00C426E8">
        <w:rPr>
          <w:i/>
          <w:sz w:val="20"/>
          <w:szCs w:val="20"/>
        </w:rPr>
        <w:t xml:space="preserve">Food Standards Australia New Zealand Act 1991 </w:t>
      </w:r>
      <w:r w:rsidRPr="00C426E8">
        <w:rPr>
          <w:sz w:val="20"/>
          <w:szCs w:val="20"/>
        </w:rPr>
        <w:t>(FSANZ Act), FSANZ now calls for submissions to assist further consideration</w:t>
      </w:r>
      <w:r w:rsidR="00276026" w:rsidRPr="00C426E8">
        <w:rPr>
          <w:sz w:val="20"/>
          <w:szCs w:val="20"/>
        </w:rPr>
        <w:t xml:space="preserve"> of the Proposal</w:t>
      </w:r>
      <w:r w:rsidRPr="00C426E8">
        <w:rPr>
          <w:sz w:val="20"/>
          <w:szCs w:val="20"/>
        </w:rPr>
        <w:t>.</w:t>
      </w:r>
    </w:p>
    <w:p w14:paraId="6FEA9AFD" w14:textId="77777777" w:rsidR="00413CA8" w:rsidRPr="007C174F" w:rsidRDefault="00413CA8" w:rsidP="00E203C2">
      <w:pPr>
        <w:rPr>
          <w:sz w:val="20"/>
          <w:szCs w:val="20"/>
        </w:rPr>
      </w:pPr>
    </w:p>
    <w:p w14:paraId="1648E0D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4E62E37" w14:textId="77777777" w:rsidR="00D81D38" w:rsidRPr="00276026" w:rsidRDefault="00D81D38" w:rsidP="00276026">
      <w:pPr>
        <w:rPr>
          <w:sz w:val="20"/>
          <w:szCs w:val="20"/>
        </w:rPr>
      </w:pPr>
    </w:p>
    <w:p w14:paraId="0D879780"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5CBC0B9" w14:textId="77777777" w:rsidR="00876515" w:rsidRPr="00276026" w:rsidRDefault="00876515" w:rsidP="00276026">
      <w:pPr>
        <w:rPr>
          <w:color w:val="000000"/>
          <w:sz w:val="20"/>
          <w:szCs w:val="20"/>
          <w:lang w:val="en-AU"/>
        </w:rPr>
      </w:pPr>
    </w:p>
    <w:p w14:paraId="14AD4E07"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7972DB2" w14:textId="77777777" w:rsidR="00E203C2" w:rsidRPr="007C174F" w:rsidRDefault="00E203C2" w:rsidP="00E203C2">
      <w:pPr>
        <w:rPr>
          <w:color w:val="000000"/>
          <w:sz w:val="20"/>
          <w:szCs w:val="20"/>
          <w:lang w:val="en-AU"/>
        </w:rPr>
      </w:pPr>
    </w:p>
    <w:p w14:paraId="5DC0E69F"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C5C3D40" w14:textId="77777777" w:rsidR="00E203C2" w:rsidRPr="007C174F" w:rsidRDefault="00E203C2" w:rsidP="00E203C2">
      <w:pPr>
        <w:rPr>
          <w:color w:val="000000"/>
          <w:sz w:val="20"/>
          <w:szCs w:val="20"/>
          <w:lang w:val="en-AU"/>
        </w:rPr>
      </w:pPr>
    </w:p>
    <w:p w14:paraId="09A691C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r w:rsidRPr="007C174F">
        <w:rPr>
          <w:color w:val="000000"/>
          <w:sz w:val="20"/>
          <w:szCs w:val="20"/>
          <w:lang w:val="en-AU"/>
        </w:rPr>
        <w:lastRenderedPageBreak/>
        <w:t>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6332462" w14:textId="77777777" w:rsidR="00E203C2" w:rsidRPr="00D676CF" w:rsidRDefault="00E203C2" w:rsidP="00E203C2">
      <w:pPr>
        <w:rPr>
          <w:color w:val="000000"/>
          <w:sz w:val="20"/>
          <w:lang w:val="en-AU"/>
        </w:rPr>
      </w:pPr>
    </w:p>
    <w:p w14:paraId="64BDB7B4" w14:textId="01BD4E0E" w:rsidR="008D5D95" w:rsidRPr="008D5D95" w:rsidRDefault="008D5D95" w:rsidP="008D5D95">
      <w:pPr>
        <w:tabs>
          <w:tab w:val="left" w:pos="7920"/>
        </w:tabs>
        <w:autoSpaceDE w:val="0"/>
        <w:autoSpaceDN w:val="0"/>
        <w:adjustRightInd w:val="0"/>
        <w:jc w:val="center"/>
        <w:rPr>
          <w:rFonts w:cs="Arial"/>
          <w:b/>
          <w:bCs/>
          <w:szCs w:val="22"/>
        </w:rPr>
      </w:pPr>
      <w:r>
        <w:rPr>
          <w:rFonts w:cs="Arial"/>
          <w:b/>
          <w:bCs/>
          <w:color w:val="000000"/>
          <w:szCs w:val="22"/>
        </w:rPr>
        <w:t xml:space="preserve">REVISED </w:t>
      </w:r>
      <w:r w:rsidR="00E063C6" w:rsidRPr="008D5D95">
        <w:rPr>
          <w:rFonts w:cs="Arial"/>
          <w:b/>
          <w:bCs/>
          <w:color w:val="000000"/>
          <w:szCs w:val="22"/>
        </w:rPr>
        <w:t>DEADLINE FOR SUBMISSIONS</w:t>
      </w:r>
      <w:r w:rsidR="00E063C6" w:rsidRPr="008D5D95">
        <w:rPr>
          <w:rFonts w:cs="Arial"/>
          <w:b/>
          <w:color w:val="000000"/>
          <w:szCs w:val="22"/>
        </w:rPr>
        <w:t>:</w:t>
      </w:r>
      <w:r w:rsidR="00E063C6" w:rsidRPr="008D5D95">
        <w:rPr>
          <w:rFonts w:cs="Arial"/>
          <w:b/>
          <w:szCs w:val="22"/>
        </w:rPr>
        <w:t xml:space="preserve">  </w:t>
      </w:r>
      <w:r w:rsidR="00E063C6" w:rsidRPr="008D5D95">
        <w:rPr>
          <w:rFonts w:cs="Arial"/>
          <w:b/>
          <w:bCs/>
          <w:szCs w:val="22"/>
        </w:rPr>
        <w:t xml:space="preserve">6pm (Canberra time) </w:t>
      </w:r>
      <w:r w:rsidR="004723A0" w:rsidRPr="008D5D95">
        <w:rPr>
          <w:rFonts w:cs="Arial"/>
          <w:b/>
          <w:bCs/>
          <w:szCs w:val="22"/>
        </w:rPr>
        <w:t>25</w:t>
      </w:r>
      <w:r w:rsidR="00C86F27" w:rsidRPr="008D5D95">
        <w:rPr>
          <w:rFonts w:cs="Arial"/>
          <w:b/>
          <w:bCs/>
          <w:szCs w:val="22"/>
        </w:rPr>
        <w:t xml:space="preserve"> March</w:t>
      </w:r>
      <w:r w:rsidR="00B87F97" w:rsidRPr="008D5D95">
        <w:rPr>
          <w:rFonts w:cs="Arial"/>
          <w:b/>
          <w:bCs/>
          <w:szCs w:val="22"/>
        </w:rPr>
        <w:t xml:space="preserve"> 2020</w:t>
      </w:r>
    </w:p>
    <w:p w14:paraId="3073F935" w14:textId="77777777" w:rsidR="008D5D95" w:rsidRDefault="008D5D95" w:rsidP="00413CA8">
      <w:pPr>
        <w:tabs>
          <w:tab w:val="left" w:pos="7920"/>
        </w:tabs>
        <w:autoSpaceDE w:val="0"/>
        <w:autoSpaceDN w:val="0"/>
        <w:adjustRightInd w:val="0"/>
        <w:jc w:val="center"/>
        <w:rPr>
          <w:rFonts w:cs="Arial"/>
          <w:b/>
          <w:bCs/>
          <w:sz w:val="24"/>
        </w:rPr>
      </w:pPr>
    </w:p>
    <w:p w14:paraId="03079A13" w14:textId="31B568F5" w:rsidR="00E063C6" w:rsidRPr="008D5D95" w:rsidRDefault="00B87F97" w:rsidP="00413CA8">
      <w:pPr>
        <w:tabs>
          <w:tab w:val="left" w:pos="7920"/>
        </w:tabs>
        <w:autoSpaceDE w:val="0"/>
        <w:autoSpaceDN w:val="0"/>
        <w:adjustRightInd w:val="0"/>
        <w:jc w:val="center"/>
        <w:rPr>
          <w:rFonts w:cs="Arial"/>
          <w:b/>
          <w:bCs/>
          <w:sz w:val="20"/>
          <w:szCs w:val="20"/>
        </w:rPr>
      </w:pPr>
      <w:r w:rsidRPr="008D5D95">
        <w:rPr>
          <w:rFonts w:cs="Arial"/>
          <w:b/>
          <w:bCs/>
          <w:sz w:val="20"/>
          <w:szCs w:val="20"/>
        </w:rPr>
        <w:t xml:space="preserve">Please note the </w:t>
      </w:r>
      <w:r w:rsidR="004723A0" w:rsidRPr="008D5D95">
        <w:rPr>
          <w:rFonts w:cs="Arial"/>
          <w:b/>
          <w:bCs/>
          <w:sz w:val="20"/>
          <w:szCs w:val="20"/>
        </w:rPr>
        <w:t>deadline has been extended</w:t>
      </w:r>
      <w:r w:rsidR="008D5D95" w:rsidRPr="008D5D95">
        <w:rPr>
          <w:rFonts w:cs="Arial"/>
          <w:b/>
          <w:bCs/>
          <w:sz w:val="20"/>
          <w:szCs w:val="20"/>
        </w:rPr>
        <w:t xml:space="preserve"> from the previous date of 18 March 2020</w:t>
      </w:r>
      <w:r w:rsidR="008D5D95">
        <w:rPr>
          <w:rFonts w:cs="Arial"/>
          <w:b/>
          <w:bCs/>
          <w:sz w:val="20"/>
          <w:szCs w:val="20"/>
        </w:rPr>
        <w:t>.</w:t>
      </w:r>
      <w:r w:rsidR="004723A0" w:rsidRPr="008D5D95">
        <w:rPr>
          <w:rFonts w:cs="Arial"/>
          <w:b/>
          <w:bCs/>
          <w:sz w:val="20"/>
          <w:szCs w:val="20"/>
        </w:rPr>
        <w:t xml:space="preserve"> </w:t>
      </w:r>
    </w:p>
    <w:p w14:paraId="55AE6F8B" w14:textId="77777777" w:rsidR="00E203C2" w:rsidRPr="007C174F" w:rsidRDefault="00E203C2" w:rsidP="00E203C2">
      <w:pPr>
        <w:rPr>
          <w:sz w:val="20"/>
          <w:szCs w:val="20"/>
          <w:lang w:val="en-AU"/>
        </w:rPr>
      </w:pPr>
    </w:p>
    <w:p w14:paraId="1FF9FA85"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40C94AF" w14:textId="77777777" w:rsidR="00E203C2" w:rsidRPr="007C174F" w:rsidRDefault="00E203C2" w:rsidP="00E203C2">
      <w:pPr>
        <w:rPr>
          <w:sz w:val="20"/>
          <w:szCs w:val="20"/>
          <w:lang w:val="en-AU"/>
        </w:rPr>
      </w:pPr>
    </w:p>
    <w:p w14:paraId="01B0EBA6"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B4CEC42" w14:textId="77777777" w:rsidR="00E203C2" w:rsidRPr="003A7725" w:rsidRDefault="00E203C2" w:rsidP="003A7725">
      <w:pPr>
        <w:rPr>
          <w:sz w:val="20"/>
          <w:lang w:val="en-AU"/>
        </w:rPr>
      </w:pPr>
    </w:p>
    <w:p w14:paraId="51109F95"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5C6EE6D" w14:textId="77777777" w:rsidR="00E203C2" w:rsidRPr="007C174F" w:rsidRDefault="00E203C2" w:rsidP="00E203C2">
      <w:pPr>
        <w:rPr>
          <w:sz w:val="20"/>
          <w:szCs w:val="20"/>
          <w:lang w:val="en-AU"/>
        </w:rPr>
      </w:pPr>
    </w:p>
    <w:p w14:paraId="3BB5702A"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A9CC750"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B97098D"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C56369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8208B36" w14:textId="6952BBDA"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w:t>
      </w:r>
      <w:r w:rsidR="008C674E">
        <w:rPr>
          <w:sz w:val="20"/>
          <w:szCs w:val="20"/>
        </w:rPr>
        <w:t>1 2222</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3898270"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7D5DEB2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9BEAEEC" w14:textId="12E887BC" w:rsidR="00C7495B" w:rsidRPr="00C7495B" w:rsidRDefault="00051ED9">
      <w:pPr>
        <w:pStyle w:val="TOC1"/>
        <w:tabs>
          <w:tab w:val="right" w:leader="dot" w:pos="9060"/>
        </w:tabs>
        <w:rPr>
          <w:rFonts w:eastAsiaTheme="minorEastAsia" w:cstheme="minorBidi"/>
          <w:b w:val="0"/>
          <w:bCs w:val="0"/>
          <w:caps w:val="0"/>
          <w:noProof/>
          <w:sz w:val="18"/>
          <w:szCs w:val="18"/>
          <w:lang w:eastAsia="en-GB" w:bidi="ar-SA"/>
        </w:rPr>
      </w:pPr>
      <w:r w:rsidRPr="00C7495B">
        <w:rPr>
          <w:rFonts w:ascii="Arial" w:hAnsi="Arial" w:cs="Arial"/>
          <w:sz w:val="18"/>
          <w:szCs w:val="18"/>
        </w:rPr>
        <w:fldChar w:fldCharType="begin"/>
      </w:r>
      <w:r w:rsidRPr="00C7495B">
        <w:rPr>
          <w:rFonts w:ascii="Arial" w:hAnsi="Arial" w:cs="Arial"/>
          <w:sz w:val="18"/>
          <w:szCs w:val="18"/>
        </w:rPr>
        <w:instrText xml:space="preserve"> TOC \o "1-3" \h \z \u </w:instrText>
      </w:r>
      <w:r w:rsidRPr="00C7495B">
        <w:rPr>
          <w:rFonts w:ascii="Arial" w:hAnsi="Arial" w:cs="Arial"/>
          <w:sz w:val="18"/>
          <w:szCs w:val="18"/>
        </w:rPr>
        <w:fldChar w:fldCharType="separate"/>
      </w:r>
      <w:hyperlink w:anchor="_Toc29998520" w:history="1">
        <w:r w:rsidR="00C7495B" w:rsidRPr="00C7495B">
          <w:rPr>
            <w:rStyle w:val="Hyperlink"/>
            <w:noProof/>
            <w:sz w:val="18"/>
            <w:szCs w:val="18"/>
          </w:rPr>
          <w:t>Executive summary</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_Toc29998520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w:t>
        </w:r>
        <w:r w:rsidR="00C7495B" w:rsidRPr="00C7495B">
          <w:rPr>
            <w:noProof/>
            <w:webHidden/>
            <w:sz w:val="18"/>
            <w:szCs w:val="18"/>
          </w:rPr>
          <w:fldChar w:fldCharType="end"/>
        </w:r>
      </w:hyperlink>
    </w:p>
    <w:p w14:paraId="73494722" w14:textId="5E6FCE1B"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21" w:history="1">
        <w:r w:rsidR="00C7495B" w:rsidRPr="00C7495B">
          <w:rPr>
            <w:rStyle w:val="Hyperlink"/>
            <w:noProof/>
            <w:sz w:val="18"/>
            <w:szCs w:val="18"/>
          </w:rPr>
          <w:t>1</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Introduction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_Toc29998521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4</w:t>
        </w:r>
        <w:r w:rsidR="00C7495B" w:rsidRPr="00C7495B">
          <w:rPr>
            <w:noProof/>
            <w:webHidden/>
            <w:sz w:val="18"/>
            <w:szCs w:val="18"/>
          </w:rPr>
          <w:fldChar w:fldCharType="end"/>
        </w:r>
      </w:hyperlink>
    </w:p>
    <w:p w14:paraId="5D3AD46B" w14:textId="0F100F87"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22" w:history="1">
        <w:r w:rsidR="00C7495B" w:rsidRPr="00C7495B">
          <w:rPr>
            <w:rStyle w:val="Hyperlink"/>
            <w:noProof/>
            <w:sz w:val="18"/>
            <w:szCs w:val="18"/>
          </w:rPr>
          <w:t>1.1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The proposal</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_Toc29998522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4</w:t>
        </w:r>
        <w:r w:rsidR="00C7495B" w:rsidRPr="00C7495B">
          <w:rPr>
            <w:noProof/>
            <w:webHidden/>
            <w:sz w:val="18"/>
            <w:szCs w:val="18"/>
          </w:rPr>
          <w:fldChar w:fldCharType="end"/>
        </w:r>
      </w:hyperlink>
    </w:p>
    <w:p w14:paraId="34F3EA75" w14:textId="28C82B3F"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23" w:history="1">
        <w:r w:rsidR="00C7495B" w:rsidRPr="00C7495B">
          <w:rPr>
            <w:rStyle w:val="Hyperlink"/>
            <w:noProof/>
            <w:sz w:val="18"/>
            <w:szCs w:val="18"/>
          </w:rPr>
          <w:t>1.2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Reasons for preparing the proposal</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_Toc29998523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4</w:t>
        </w:r>
        <w:r w:rsidR="00C7495B" w:rsidRPr="00C7495B">
          <w:rPr>
            <w:noProof/>
            <w:webHidden/>
            <w:sz w:val="18"/>
            <w:szCs w:val="18"/>
          </w:rPr>
          <w:fldChar w:fldCharType="end"/>
        </w:r>
      </w:hyperlink>
    </w:p>
    <w:p w14:paraId="0C765F54" w14:textId="77EEAFF9"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24" w:history="1">
        <w:r w:rsidR="00C7495B" w:rsidRPr="00C7495B">
          <w:rPr>
            <w:rStyle w:val="Hyperlink"/>
            <w:noProof/>
            <w:sz w:val="18"/>
            <w:szCs w:val="18"/>
          </w:rPr>
          <w:t>1.3</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Procedure for assessment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_Toc29998524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5</w:t>
        </w:r>
        <w:r w:rsidR="00C7495B" w:rsidRPr="00C7495B">
          <w:rPr>
            <w:noProof/>
            <w:webHidden/>
            <w:sz w:val="18"/>
            <w:szCs w:val="18"/>
          </w:rPr>
          <w:fldChar w:fldCharType="end"/>
        </w:r>
      </w:hyperlink>
    </w:p>
    <w:p w14:paraId="3433BE4E" w14:textId="50CF7AC6"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25" w:history="1">
        <w:r w:rsidR="00C7495B" w:rsidRPr="00C7495B">
          <w:rPr>
            <w:rStyle w:val="Hyperlink"/>
            <w:noProof/>
            <w:sz w:val="18"/>
            <w:szCs w:val="18"/>
          </w:rPr>
          <w:t>1.4</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Scope</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_Toc29998525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6</w:t>
        </w:r>
        <w:r w:rsidR="00C7495B" w:rsidRPr="00C7495B">
          <w:rPr>
            <w:noProof/>
            <w:webHidden/>
            <w:sz w:val="18"/>
            <w:szCs w:val="18"/>
          </w:rPr>
          <w:fldChar w:fldCharType="end"/>
        </w:r>
      </w:hyperlink>
    </w:p>
    <w:p w14:paraId="4018974B" w14:textId="4F6EC93F" w:rsidR="00C7495B" w:rsidRPr="00C7495B" w:rsidRDefault="00C669B8" w:rsidP="00C7495B">
      <w:pPr>
        <w:pStyle w:val="TOC3"/>
        <w:rPr>
          <w:rFonts w:eastAsiaTheme="minorEastAsia" w:cstheme="minorBidi"/>
          <w:noProof/>
          <w:sz w:val="18"/>
          <w:szCs w:val="18"/>
          <w:lang w:eastAsia="en-GB" w:bidi="ar-SA"/>
        </w:rPr>
      </w:pPr>
      <w:hyperlink w:anchor="_Toc29998526" w:history="1">
        <w:r w:rsidR="00C7495B" w:rsidRPr="00C7495B">
          <w:rPr>
            <w:rStyle w:val="Hyperlink"/>
            <w:noProof/>
            <w:sz w:val="18"/>
            <w:szCs w:val="18"/>
          </w:rPr>
          <w:t>1.4.1</w:t>
        </w:r>
        <w:r w:rsidR="00C7495B" w:rsidRPr="00C7495B">
          <w:rPr>
            <w:rFonts w:eastAsiaTheme="minorEastAsia" w:cstheme="minorBidi"/>
            <w:noProof/>
            <w:sz w:val="18"/>
            <w:szCs w:val="18"/>
            <w:lang w:eastAsia="en-GB" w:bidi="ar-SA"/>
          </w:rPr>
          <w:tab/>
        </w:r>
        <w:r w:rsidR="00C7495B" w:rsidRPr="00C7495B">
          <w:rPr>
            <w:rStyle w:val="Hyperlink"/>
            <w:noProof/>
            <w:sz w:val="18"/>
            <w:szCs w:val="18"/>
          </w:rPr>
          <w:t>Included in scope</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_Toc29998526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6</w:t>
        </w:r>
        <w:r w:rsidR="00C7495B" w:rsidRPr="00C7495B">
          <w:rPr>
            <w:noProof/>
            <w:webHidden/>
            <w:sz w:val="18"/>
            <w:szCs w:val="18"/>
          </w:rPr>
          <w:fldChar w:fldCharType="end"/>
        </w:r>
      </w:hyperlink>
    </w:p>
    <w:p w14:paraId="0A70F3BD" w14:textId="28031D31" w:rsidR="00C7495B" w:rsidRPr="00C7495B" w:rsidRDefault="00C669B8" w:rsidP="00C7495B">
      <w:pPr>
        <w:pStyle w:val="TOC3"/>
        <w:rPr>
          <w:rFonts w:eastAsiaTheme="minorEastAsia" w:cstheme="minorBidi"/>
          <w:noProof/>
          <w:sz w:val="18"/>
          <w:szCs w:val="18"/>
          <w:lang w:eastAsia="en-GB" w:bidi="ar-SA"/>
        </w:rPr>
      </w:pPr>
      <w:hyperlink w:anchor="_Toc29998527" w:history="1">
        <w:r w:rsidR="00C7495B" w:rsidRPr="00C7495B">
          <w:rPr>
            <w:rStyle w:val="Hyperlink"/>
            <w:noProof/>
            <w:sz w:val="18"/>
            <w:szCs w:val="18"/>
          </w:rPr>
          <w:t>1.4.2</w:t>
        </w:r>
        <w:r w:rsidR="00C7495B" w:rsidRPr="00C7495B">
          <w:rPr>
            <w:rFonts w:eastAsiaTheme="minorEastAsia" w:cstheme="minorBidi"/>
            <w:noProof/>
            <w:sz w:val="18"/>
            <w:szCs w:val="18"/>
            <w:lang w:eastAsia="en-GB" w:bidi="ar-SA"/>
          </w:rPr>
          <w:tab/>
        </w:r>
        <w:r w:rsidR="00C7495B" w:rsidRPr="00C7495B">
          <w:rPr>
            <w:rStyle w:val="Hyperlink"/>
            <w:noProof/>
            <w:sz w:val="18"/>
            <w:szCs w:val="18"/>
          </w:rPr>
          <w:t>‘High risk’ terminology</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_Toc29998527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6</w:t>
        </w:r>
        <w:r w:rsidR="00C7495B" w:rsidRPr="00C7495B">
          <w:rPr>
            <w:noProof/>
            <w:webHidden/>
            <w:sz w:val="18"/>
            <w:szCs w:val="18"/>
          </w:rPr>
          <w:fldChar w:fldCharType="end"/>
        </w:r>
      </w:hyperlink>
    </w:p>
    <w:p w14:paraId="2A4344D2" w14:textId="575010FB" w:rsidR="00C7495B" w:rsidRPr="00C7495B" w:rsidRDefault="00C669B8" w:rsidP="00C7495B">
      <w:pPr>
        <w:pStyle w:val="TOC3"/>
        <w:rPr>
          <w:rFonts w:eastAsiaTheme="minorEastAsia" w:cstheme="minorBidi"/>
          <w:noProof/>
          <w:sz w:val="18"/>
          <w:szCs w:val="18"/>
          <w:lang w:eastAsia="en-GB" w:bidi="ar-SA"/>
        </w:rPr>
      </w:pPr>
      <w:hyperlink w:anchor="_Toc29998528" w:history="1">
        <w:r w:rsidR="00C7495B" w:rsidRPr="00C7495B">
          <w:rPr>
            <w:rStyle w:val="Hyperlink"/>
            <w:noProof/>
            <w:sz w:val="18"/>
            <w:szCs w:val="18"/>
          </w:rPr>
          <w:t>1.4.3</w:t>
        </w:r>
        <w:r w:rsidR="00C7495B" w:rsidRPr="00C7495B">
          <w:rPr>
            <w:rFonts w:eastAsiaTheme="minorEastAsia" w:cstheme="minorBidi"/>
            <w:noProof/>
            <w:sz w:val="18"/>
            <w:szCs w:val="18"/>
            <w:lang w:eastAsia="en-GB" w:bidi="ar-SA"/>
          </w:rPr>
          <w:tab/>
        </w:r>
        <w:r w:rsidR="00C7495B" w:rsidRPr="00C7495B">
          <w:rPr>
            <w:rStyle w:val="Hyperlink"/>
            <w:noProof/>
            <w:sz w:val="18"/>
            <w:szCs w:val="18"/>
          </w:rPr>
          <w:t>Excluded from scope</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_Toc29998528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6</w:t>
        </w:r>
        <w:r w:rsidR="00C7495B" w:rsidRPr="00C7495B">
          <w:rPr>
            <w:noProof/>
            <w:webHidden/>
            <w:sz w:val="18"/>
            <w:szCs w:val="18"/>
          </w:rPr>
          <w:fldChar w:fldCharType="end"/>
        </w:r>
      </w:hyperlink>
    </w:p>
    <w:p w14:paraId="71B3F7BD" w14:textId="30E10458"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29" w:history="1">
        <w:r w:rsidR="00C7495B" w:rsidRPr="00C7495B">
          <w:rPr>
            <w:rStyle w:val="Hyperlink"/>
            <w:noProof/>
            <w:sz w:val="18"/>
            <w:szCs w:val="18"/>
          </w:rPr>
          <w:t>2</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Background</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_Toc29998529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7</w:t>
        </w:r>
        <w:r w:rsidR="00C7495B" w:rsidRPr="00C7495B">
          <w:rPr>
            <w:noProof/>
            <w:webHidden/>
            <w:sz w:val="18"/>
            <w:szCs w:val="18"/>
          </w:rPr>
          <w:fldChar w:fldCharType="end"/>
        </w:r>
      </w:hyperlink>
    </w:p>
    <w:p w14:paraId="20340A7E" w14:textId="4A40D71B"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30" w:history="1">
        <w:r w:rsidR="00C7495B" w:rsidRPr="00C7495B">
          <w:rPr>
            <w:rStyle w:val="Hyperlink"/>
            <w:noProof/>
            <w:sz w:val="18"/>
            <w:szCs w:val="18"/>
          </w:rPr>
          <w:t>2.1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Previous FSANZ consideration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_Toc29998530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7</w:t>
        </w:r>
        <w:r w:rsidR="00C7495B" w:rsidRPr="00C7495B">
          <w:rPr>
            <w:noProof/>
            <w:webHidden/>
            <w:sz w:val="18"/>
            <w:szCs w:val="18"/>
          </w:rPr>
          <w:fldChar w:fldCharType="end"/>
        </w:r>
      </w:hyperlink>
    </w:p>
    <w:p w14:paraId="07834EEE" w14:textId="6AF9EEAD"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31" w:history="1">
        <w:r w:rsidR="00C7495B" w:rsidRPr="00C7495B">
          <w:rPr>
            <w:rStyle w:val="Hyperlink"/>
            <w:noProof/>
            <w:sz w:val="18"/>
            <w:szCs w:val="18"/>
          </w:rPr>
          <w:t>2.2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Activities since 2014</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_Toc29998531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8</w:t>
        </w:r>
        <w:r w:rsidR="00C7495B" w:rsidRPr="00C7495B">
          <w:rPr>
            <w:noProof/>
            <w:webHidden/>
            <w:sz w:val="18"/>
            <w:szCs w:val="18"/>
          </w:rPr>
          <w:fldChar w:fldCharType="end"/>
        </w:r>
      </w:hyperlink>
    </w:p>
    <w:p w14:paraId="5377BB0E" w14:textId="0F8C251B" w:rsidR="00C7495B" w:rsidRPr="00C7495B" w:rsidRDefault="00C669B8" w:rsidP="00C7495B">
      <w:pPr>
        <w:pStyle w:val="TOC3"/>
        <w:rPr>
          <w:rFonts w:eastAsiaTheme="minorEastAsia" w:cstheme="minorBidi"/>
          <w:noProof/>
          <w:sz w:val="18"/>
          <w:szCs w:val="18"/>
          <w:lang w:eastAsia="en-GB" w:bidi="ar-SA"/>
        </w:rPr>
      </w:pPr>
      <w:hyperlink w:anchor="_Toc29998532" w:history="1">
        <w:r w:rsidR="00C7495B" w:rsidRPr="00C7495B">
          <w:rPr>
            <w:rStyle w:val="Hyperlink"/>
            <w:noProof/>
            <w:sz w:val="18"/>
            <w:szCs w:val="18"/>
          </w:rPr>
          <w:t>2.2.1</w:t>
        </w:r>
        <w:r w:rsidR="00C7495B" w:rsidRPr="00C7495B">
          <w:rPr>
            <w:rFonts w:eastAsiaTheme="minorEastAsia" w:cstheme="minorBidi"/>
            <w:noProof/>
            <w:sz w:val="18"/>
            <w:szCs w:val="18"/>
            <w:lang w:eastAsia="en-GB" w:bidi="ar-SA"/>
          </w:rPr>
          <w:tab/>
        </w:r>
        <w:r w:rsidR="00C7495B" w:rsidRPr="00C7495B">
          <w:rPr>
            <w:rStyle w:val="Hyperlink"/>
            <w:noProof/>
            <w:sz w:val="18"/>
            <w:szCs w:val="18"/>
          </w:rPr>
          <w:t>Stakeholder consultations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_Toc29998532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8</w:t>
        </w:r>
        <w:r w:rsidR="00C7495B" w:rsidRPr="00C7495B">
          <w:rPr>
            <w:noProof/>
            <w:webHidden/>
            <w:sz w:val="18"/>
            <w:szCs w:val="18"/>
          </w:rPr>
          <w:fldChar w:fldCharType="end"/>
        </w:r>
      </w:hyperlink>
    </w:p>
    <w:p w14:paraId="334FE393" w14:textId="2F9309AC" w:rsidR="00C7495B" w:rsidRPr="00C7495B" w:rsidRDefault="00C669B8" w:rsidP="00C7495B">
      <w:pPr>
        <w:pStyle w:val="TOC3"/>
        <w:rPr>
          <w:rFonts w:eastAsiaTheme="minorEastAsia" w:cstheme="minorBidi"/>
          <w:noProof/>
          <w:sz w:val="18"/>
          <w:szCs w:val="18"/>
          <w:lang w:eastAsia="en-GB" w:bidi="ar-SA"/>
        </w:rPr>
      </w:pPr>
      <w:hyperlink w:anchor="_Toc29998533" w:history="1">
        <w:r w:rsidR="00C7495B" w:rsidRPr="00C7495B">
          <w:rPr>
            <w:rStyle w:val="Hyperlink"/>
            <w:noProof/>
            <w:sz w:val="18"/>
            <w:szCs w:val="18"/>
          </w:rPr>
          <w:t>2.2.2</w:t>
        </w:r>
        <w:r w:rsidR="00C7495B" w:rsidRPr="00C7495B">
          <w:rPr>
            <w:rFonts w:eastAsiaTheme="minorEastAsia" w:cstheme="minorBidi"/>
            <w:noProof/>
            <w:sz w:val="18"/>
            <w:szCs w:val="18"/>
            <w:lang w:eastAsia="en-GB" w:bidi="ar-SA"/>
          </w:rPr>
          <w:tab/>
        </w:r>
        <w:r w:rsidR="00C7495B" w:rsidRPr="00C7495B">
          <w:rPr>
            <w:rStyle w:val="Hyperlink"/>
            <w:noProof/>
            <w:sz w:val="18"/>
            <w:szCs w:val="18"/>
          </w:rPr>
          <w:t>FRSC considerations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_Toc29998533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9</w:t>
        </w:r>
        <w:r w:rsidR="00C7495B" w:rsidRPr="00C7495B">
          <w:rPr>
            <w:noProof/>
            <w:webHidden/>
            <w:sz w:val="18"/>
            <w:szCs w:val="18"/>
          </w:rPr>
          <w:fldChar w:fldCharType="end"/>
        </w:r>
      </w:hyperlink>
    </w:p>
    <w:p w14:paraId="1ADA4FED" w14:textId="3C8ED554"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34" w:history="1">
        <w:r w:rsidR="00C7495B" w:rsidRPr="00C7495B">
          <w:rPr>
            <w:rStyle w:val="Hyperlink"/>
            <w:noProof/>
            <w:sz w:val="18"/>
            <w:szCs w:val="18"/>
          </w:rPr>
          <w:t>2.3</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 xml:space="preserve"> Recalls and incidents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_Toc29998534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9</w:t>
        </w:r>
        <w:r w:rsidR="00C7495B" w:rsidRPr="00C7495B">
          <w:rPr>
            <w:noProof/>
            <w:webHidden/>
            <w:sz w:val="18"/>
            <w:szCs w:val="18"/>
          </w:rPr>
          <w:fldChar w:fldCharType="end"/>
        </w:r>
      </w:hyperlink>
    </w:p>
    <w:p w14:paraId="4439028D" w14:textId="42BA17C0"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35" w:history="1">
        <w:r w:rsidR="00C7495B" w:rsidRPr="00C7495B">
          <w:rPr>
            <w:rStyle w:val="Hyperlink"/>
            <w:noProof/>
            <w:sz w:val="18"/>
            <w:szCs w:val="18"/>
          </w:rPr>
          <w:t>2.4</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Traceability</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_Toc29998535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9</w:t>
        </w:r>
        <w:r w:rsidR="00C7495B" w:rsidRPr="00C7495B">
          <w:rPr>
            <w:noProof/>
            <w:webHidden/>
            <w:sz w:val="18"/>
            <w:szCs w:val="18"/>
          </w:rPr>
          <w:fldChar w:fldCharType="end"/>
        </w:r>
      </w:hyperlink>
    </w:p>
    <w:p w14:paraId="5A23B1B0" w14:textId="19DBECA4"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36" w:history="1">
        <w:r w:rsidR="00C7495B" w:rsidRPr="00C7495B">
          <w:rPr>
            <w:rStyle w:val="Hyperlink"/>
            <w:noProof/>
            <w:sz w:val="18"/>
            <w:szCs w:val="18"/>
          </w:rPr>
          <w:t>3</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Assessment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_Toc29998536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10</w:t>
        </w:r>
        <w:r w:rsidR="00C7495B" w:rsidRPr="00C7495B">
          <w:rPr>
            <w:noProof/>
            <w:webHidden/>
            <w:sz w:val="18"/>
            <w:szCs w:val="18"/>
          </w:rPr>
          <w:fldChar w:fldCharType="end"/>
        </w:r>
      </w:hyperlink>
    </w:p>
    <w:p w14:paraId="26649E4E" w14:textId="7969B05C"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37" w:history="1">
        <w:r w:rsidR="00C7495B" w:rsidRPr="00C7495B">
          <w:rPr>
            <w:rStyle w:val="Hyperlink"/>
            <w:noProof/>
            <w:sz w:val="18"/>
            <w:szCs w:val="18"/>
          </w:rPr>
          <w:t>3.1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Microbiological Assessment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_Toc29998537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10</w:t>
        </w:r>
        <w:r w:rsidR="00C7495B" w:rsidRPr="00C7495B">
          <w:rPr>
            <w:noProof/>
            <w:webHidden/>
            <w:sz w:val="18"/>
            <w:szCs w:val="18"/>
          </w:rPr>
          <w:fldChar w:fldCharType="end"/>
        </w:r>
      </w:hyperlink>
    </w:p>
    <w:p w14:paraId="7D19E95A" w14:textId="7240DBBB" w:rsidR="00C7495B" w:rsidRPr="00C7495B" w:rsidRDefault="00C669B8" w:rsidP="00C7495B">
      <w:pPr>
        <w:pStyle w:val="TOC3"/>
        <w:rPr>
          <w:rFonts w:eastAsiaTheme="minorEastAsia" w:cstheme="minorBidi"/>
          <w:noProof/>
          <w:sz w:val="18"/>
          <w:szCs w:val="18"/>
          <w:lang w:eastAsia="en-GB" w:bidi="ar-SA"/>
        </w:rPr>
      </w:pPr>
      <w:hyperlink w:anchor="_Toc29998538" w:history="1">
        <w:r w:rsidR="00C7495B" w:rsidRPr="00C7495B">
          <w:rPr>
            <w:rStyle w:val="Hyperlink"/>
            <w:noProof/>
            <w:sz w:val="18"/>
            <w:szCs w:val="18"/>
          </w:rPr>
          <w:t>3.1.1</w:t>
        </w:r>
        <w:r w:rsidR="00C7495B" w:rsidRPr="00C7495B">
          <w:rPr>
            <w:rFonts w:eastAsiaTheme="minorEastAsia" w:cstheme="minorBidi"/>
            <w:noProof/>
            <w:sz w:val="18"/>
            <w:szCs w:val="18"/>
            <w:lang w:eastAsia="en-GB" w:bidi="ar-SA"/>
          </w:rPr>
          <w:tab/>
        </w:r>
        <w:r w:rsidR="00C7495B" w:rsidRPr="00C7495B">
          <w:rPr>
            <w:rStyle w:val="Hyperlink"/>
            <w:noProof/>
            <w:sz w:val="18"/>
            <w:szCs w:val="18"/>
          </w:rPr>
          <w:t>Previous FSANZ findings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_Toc29998538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10</w:t>
        </w:r>
        <w:r w:rsidR="00C7495B" w:rsidRPr="00C7495B">
          <w:rPr>
            <w:noProof/>
            <w:webHidden/>
            <w:sz w:val="18"/>
            <w:szCs w:val="18"/>
          </w:rPr>
          <w:fldChar w:fldCharType="end"/>
        </w:r>
      </w:hyperlink>
    </w:p>
    <w:p w14:paraId="661A2BC9" w14:textId="46B2A910" w:rsidR="00C7495B" w:rsidRPr="00C7495B" w:rsidRDefault="00C669B8" w:rsidP="00C7495B">
      <w:pPr>
        <w:pStyle w:val="TOC3"/>
        <w:rPr>
          <w:rFonts w:eastAsiaTheme="minorEastAsia" w:cstheme="minorBidi"/>
          <w:noProof/>
          <w:sz w:val="18"/>
          <w:szCs w:val="18"/>
          <w:lang w:eastAsia="en-GB" w:bidi="ar-SA"/>
        </w:rPr>
      </w:pPr>
      <w:hyperlink w:anchor="_Toc29998539" w:history="1">
        <w:r w:rsidR="00C7495B" w:rsidRPr="00C7495B">
          <w:rPr>
            <w:rStyle w:val="Hyperlink"/>
            <w:noProof/>
            <w:sz w:val="18"/>
            <w:szCs w:val="18"/>
          </w:rPr>
          <w:t>3.1.2</w:t>
        </w:r>
        <w:r w:rsidR="00C7495B" w:rsidRPr="00C7495B">
          <w:rPr>
            <w:rFonts w:eastAsiaTheme="minorEastAsia" w:cstheme="minorBidi"/>
            <w:noProof/>
            <w:sz w:val="18"/>
            <w:szCs w:val="18"/>
            <w:lang w:eastAsia="en-GB" w:bidi="ar-SA"/>
          </w:rPr>
          <w:tab/>
        </w:r>
        <w:r w:rsidR="00C7495B" w:rsidRPr="00C7495B">
          <w:rPr>
            <w:rStyle w:val="Hyperlink"/>
            <w:noProof/>
            <w:sz w:val="18"/>
            <w:szCs w:val="18"/>
          </w:rPr>
          <w:t>Current foodborne illness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_Toc29998539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11</w:t>
        </w:r>
        <w:r w:rsidR="00C7495B" w:rsidRPr="00C7495B">
          <w:rPr>
            <w:noProof/>
            <w:webHidden/>
            <w:sz w:val="18"/>
            <w:szCs w:val="18"/>
          </w:rPr>
          <w:fldChar w:fldCharType="end"/>
        </w:r>
      </w:hyperlink>
    </w:p>
    <w:p w14:paraId="150EB53C" w14:textId="4C04522F" w:rsidR="00C7495B" w:rsidRPr="00C7495B" w:rsidRDefault="00C669B8" w:rsidP="00C7495B">
      <w:pPr>
        <w:pStyle w:val="TOC3"/>
        <w:rPr>
          <w:rFonts w:eastAsiaTheme="minorEastAsia" w:cstheme="minorBidi"/>
          <w:noProof/>
          <w:sz w:val="18"/>
          <w:szCs w:val="18"/>
          <w:lang w:eastAsia="en-GB" w:bidi="ar-SA"/>
        </w:rPr>
      </w:pPr>
      <w:hyperlink w:anchor="_Toc29998540" w:history="1">
        <w:r w:rsidR="00C7495B" w:rsidRPr="00C7495B">
          <w:rPr>
            <w:rStyle w:val="Hyperlink"/>
            <w:noProof/>
            <w:sz w:val="18"/>
            <w:szCs w:val="18"/>
          </w:rPr>
          <w:t>3.1.2</w:t>
        </w:r>
        <w:r w:rsidR="00C7495B" w:rsidRPr="00C7495B">
          <w:rPr>
            <w:rFonts w:eastAsiaTheme="minorEastAsia" w:cstheme="minorBidi"/>
            <w:noProof/>
            <w:sz w:val="18"/>
            <w:szCs w:val="18"/>
            <w:lang w:eastAsia="en-GB" w:bidi="ar-SA"/>
          </w:rPr>
          <w:tab/>
        </w:r>
        <w:r w:rsidR="00C7495B" w:rsidRPr="00C7495B">
          <w:rPr>
            <w:rStyle w:val="Hyperlink"/>
            <w:noProof/>
            <w:sz w:val="18"/>
            <w:szCs w:val="18"/>
          </w:rPr>
          <w:t>Conclusion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_Toc29998540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11</w:t>
        </w:r>
        <w:r w:rsidR="00C7495B" w:rsidRPr="00C7495B">
          <w:rPr>
            <w:noProof/>
            <w:webHidden/>
            <w:sz w:val="18"/>
            <w:szCs w:val="18"/>
          </w:rPr>
          <w:fldChar w:fldCharType="end"/>
        </w:r>
      </w:hyperlink>
    </w:p>
    <w:p w14:paraId="704B71E5" w14:textId="1710877F"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41" w:history="1">
        <w:r w:rsidR="00C7495B" w:rsidRPr="00C7495B">
          <w:rPr>
            <w:rStyle w:val="Hyperlink"/>
            <w:noProof/>
            <w:sz w:val="18"/>
            <w:szCs w:val="18"/>
          </w:rPr>
          <w:t>3.2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Chemical assessment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_Toc29998541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12</w:t>
        </w:r>
        <w:r w:rsidR="00C7495B" w:rsidRPr="00C7495B">
          <w:rPr>
            <w:noProof/>
            <w:webHidden/>
            <w:sz w:val="18"/>
            <w:szCs w:val="18"/>
          </w:rPr>
          <w:fldChar w:fldCharType="end"/>
        </w:r>
      </w:hyperlink>
    </w:p>
    <w:p w14:paraId="195D59C0" w14:textId="537E8C7D"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42" w:history="1">
        <w:r w:rsidR="00C7495B" w:rsidRPr="00C7495B">
          <w:rPr>
            <w:rStyle w:val="Hyperlink"/>
            <w:noProof/>
            <w:sz w:val="18"/>
            <w:szCs w:val="18"/>
          </w:rPr>
          <w:t>3.3</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Industry overview</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_Toc29998542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12</w:t>
        </w:r>
        <w:r w:rsidR="00C7495B" w:rsidRPr="00C7495B">
          <w:rPr>
            <w:noProof/>
            <w:webHidden/>
            <w:sz w:val="18"/>
            <w:szCs w:val="18"/>
          </w:rPr>
          <w:fldChar w:fldCharType="end"/>
        </w:r>
      </w:hyperlink>
    </w:p>
    <w:p w14:paraId="2D48E275" w14:textId="25D4B4AB"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43" w:history="1">
        <w:r w:rsidR="00C7495B" w:rsidRPr="00C7495B">
          <w:rPr>
            <w:rStyle w:val="Hyperlink"/>
            <w:noProof/>
            <w:sz w:val="18"/>
            <w:szCs w:val="18"/>
          </w:rPr>
          <w:t>4</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Risk management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_Toc29998543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12</w:t>
        </w:r>
        <w:r w:rsidR="00C7495B" w:rsidRPr="00C7495B">
          <w:rPr>
            <w:noProof/>
            <w:webHidden/>
            <w:sz w:val="18"/>
            <w:szCs w:val="18"/>
          </w:rPr>
          <w:fldChar w:fldCharType="end"/>
        </w:r>
      </w:hyperlink>
    </w:p>
    <w:p w14:paraId="602475D3" w14:textId="74AF0AD8"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44" w:history="1">
        <w:r w:rsidR="00C7495B" w:rsidRPr="00C7495B">
          <w:rPr>
            <w:rStyle w:val="Hyperlink"/>
            <w:noProof/>
            <w:sz w:val="18"/>
            <w:szCs w:val="18"/>
          </w:rPr>
          <w:t>4.1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Regulatory requirements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_Toc29998544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13</w:t>
        </w:r>
        <w:r w:rsidR="00C7495B" w:rsidRPr="00C7495B">
          <w:rPr>
            <w:noProof/>
            <w:webHidden/>
            <w:sz w:val="18"/>
            <w:szCs w:val="18"/>
          </w:rPr>
          <w:fldChar w:fldCharType="end"/>
        </w:r>
      </w:hyperlink>
    </w:p>
    <w:p w14:paraId="71C8F8E4" w14:textId="105AFACA" w:rsidR="00C7495B" w:rsidRPr="00C7495B" w:rsidRDefault="00C669B8" w:rsidP="00C7495B">
      <w:pPr>
        <w:pStyle w:val="TOC3"/>
        <w:rPr>
          <w:rFonts w:eastAsiaTheme="minorEastAsia" w:cstheme="minorBidi"/>
          <w:noProof/>
          <w:sz w:val="18"/>
          <w:szCs w:val="18"/>
          <w:lang w:eastAsia="en-GB" w:bidi="ar-SA"/>
        </w:rPr>
      </w:pPr>
      <w:hyperlink w:anchor="_Toc29998545" w:history="1">
        <w:r w:rsidR="00C7495B" w:rsidRPr="00C7495B">
          <w:rPr>
            <w:rStyle w:val="Hyperlink"/>
            <w:noProof/>
            <w:sz w:val="18"/>
            <w:szCs w:val="18"/>
          </w:rPr>
          <w:t>4.1.1</w:t>
        </w:r>
        <w:r w:rsidR="00C7495B" w:rsidRPr="00C7495B">
          <w:rPr>
            <w:rFonts w:eastAsiaTheme="minorEastAsia" w:cstheme="minorBidi"/>
            <w:noProof/>
            <w:sz w:val="18"/>
            <w:szCs w:val="18"/>
            <w:lang w:eastAsia="en-GB" w:bidi="ar-SA"/>
          </w:rPr>
          <w:tab/>
        </w:r>
        <w:r w:rsidR="00C7495B" w:rsidRPr="00C7495B">
          <w:rPr>
            <w:rStyle w:val="Hyperlink"/>
            <w:noProof/>
            <w:sz w:val="18"/>
            <w:szCs w:val="18"/>
          </w:rPr>
          <w:t>Australia New Zealand Food Standards Code</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_Toc29998545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13</w:t>
        </w:r>
        <w:r w:rsidR="00C7495B" w:rsidRPr="00C7495B">
          <w:rPr>
            <w:noProof/>
            <w:webHidden/>
            <w:sz w:val="18"/>
            <w:szCs w:val="18"/>
          </w:rPr>
          <w:fldChar w:fldCharType="end"/>
        </w:r>
      </w:hyperlink>
    </w:p>
    <w:p w14:paraId="4601297B" w14:textId="5F59F1A7" w:rsidR="00C7495B" w:rsidRPr="00C7495B" w:rsidRDefault="00C669B8" w:rsidP="00C7495B">
      <w:pPr>
        <w:pStyle w:val="TOC3"/>
        <w:rPr>
          <w:rFonts w:eastAsiaTheme="minorEastAsia" w:cstheme="minorBidi"/>
          <w:noProof/>
          <w:sz w:val="18"/>
          <w:szCs w:val="18"/>
          <w:lang w:eastAsia="en-GB" w:bidi="ar-SA"/>
        </w:rPr>
      </w:pPr>
      <w:hyperlink w:anchor="_Toc29998546" w:history="1">
        <w:r w:rsidR="00C7495B" w:rsidRPr="00C7495B">
          <w:rPr>
            <w:rStyle w:val="Hyperlink"/>
            <w:noProof/>
            <w:sz w:val="18"/>
            <w:szCs w:val="18"/>
          </w:rPr>
          <w:t>4.1.2</w:t>
        </w:r>
        <w:r w:rsidR="00C7495B" w:rsidRPr="00C7495B">
          <w:rPr>
            <w:rFonts w:eastAsiaTheme="minorEastAsia" w:cstheme="minorBidi"/>
            <w:noProof/>
            <w:sz w:val="18"/>
            <w:szCs w:val="18"/>
            <w:lang w:eastAsia="en-GB" w:bidi="ar-SA"/>
          </w:rPr>
          <w:tab/>
        </w:r>
        <w:r w:rsidR="00C7495B" w:rsidRPr="00C7495B">
          <w:rPr>
            <w:rStyle w:val="Hyperlink"/>
            <w:noProof/>
            <w:sz w:val="18"/>
            <w:szCs w:val="18"/>
          </w:rPr>
          <w:t>State and territory legislation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_Toc29998546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14</w:t>
        </w:r>
        <w:r w:rsidR="00C7495B" w:rsidRPr="00C7495B">
          <w:rPr>
            <w:noProof/>
            <w:webHidden/>
            <w:sz w:val="18"/>
            <w:szCs w:val="18"/>
          </w:rPr>
          <w:fldChar w:fldCharType="end"/>
        </w:r>
      </w:hyperlink>
    </w:p>
    <w:p w14:paraId="35A127D4" w14:textId="03A8A724" w:rsidR="00C7495B" w:rsidRPr="00C7495B" w:rsidRDefault="00C669B8" w:rsidP="00C7495B">
      <w:pPr>
        <w:pStyle w:val="TOC3"/>
        <w:rPr>
          <w:rFonts w:eastAsiaTheme="minorEastAsia" w:cstheme="minorBidi"/>
          <w:noProof/>
          <w:sz w:val="18"/>
          <w:szCs w:val="18"/>
          <w:lang w:eastAsia="en-GB" w:bidi="ar-SA"/>
        </w:rPr>
      </w:pPr>
      <w:hyperlink w:anchor="_Toc29998547" w:history="1">
        <w:r w:rsidR="00C7495B" w:rsidRPr="00C7495B">
          <w:rPr>
            <w:rStyle w:val="Hyperlink"/>
            <w:noProof/>
            <w:sz w:val="18"/>
            <w:szCs w:val="18"/>
          </w:rPr>
          <w:t>4.1.3</w:t>
        </w:r>
        <w:r w:rsidR="00C7495B" w:rsidRPr="00C7495B">
          <w:rPr>
            <w:rFonts w:eastAsiaTheme="minorEastAsia" w:cstheme="minorBidi"/>
            <w:noProof/>
            <w:sz w:val="18"/>
            <w:szCs w:val="18"/>
            <w:lang w:eastAsia="en-GB" w:bidi="ar-SA"/>
          </w:rPr>
          <w:tab/>
        </w:r>
        <w:r w:rsidR="00C7495B" w:rsidRPr="00C7495B">
          <w:rPr>
            <w:rStyle w:val="Hyperlink"/>
            <w:noProof/>
            <w:sz w:val="18"/>
            <w:szCs w:val="18"/>
          </w:rPr>
          <w:t>Import and export requirements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_Toc29998547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14</w:t>
        </w:r>
        <w:r w:rsidR="00C7495B" w:rsidRPr="00C7495B">
          <w:rPr>
            <w:noProof/>
            <w:webHidden/>
            <w:sz w:val="18"/>
            <w:szCs w:val="18"/>
          </w:rPr>
          <w:fldChar w:fldCharType="end"/>
        </w:r>
      </w:hyperlink>
    </w:p>
    <w:p w14:paraId="0281C92F" w14:textId="27F5C257" w:rsidR="00C7495B" w:rsidRPr="00C7495B" w:rsidRDefault="00C669B8" w:rsidP="00C7495B">
      <w:pPr>
        <w:pStyle w:val="TOC3"/>
        <w:rPr>
          <w:rFonts w:eastAsiaTheme="minorEastAsia" w:cstheme="minorBidi"/>
          <w:noProof/>
          <w:sz w:val="18"/>
          <w:szCs w:val="18"/>
          <w:lang w:eastAsia="en-GB" w:bidi="ar-SA"/>
        </w:rPr>
      </w:pPr>
      <w:hyperlink w:anchor="_Toc29998548" w:history="1">
        <w:r w:rsidR="00C7495B" w:rsidRPr="00C7495B">
          <w:rPr>
            <w:rStyle w:val="Hyperlink"/>
            <w:noProof/>
            <w:sz w:val="18"/>
            <w:szCs w:val="18"/>
          </w:rPr>
          <w:t>4.1.4</w:t>
        </w:r>
        <w:r w:rsidR="00C7495B" w:rsidRPr="00C7495B">
          <w:rPr>
            <w:rFonts w:eastAsiaTheme="minorEastAsia" w:cstheme="minorBidi"/>
            <w:noProof/>
            <w:sz w:val="18"/>
            <w:szCs w:val="18"/>
            <w:lang w:eastAsia="en-GB" w:bidi="ar-SA"/>
          </w:rPr>
          <w:tab/>
        </w:r>
        <w:r w:rsidR="00C7495B" w:rsidRPr="00C7495B">
          <w:rPr>
            <w:rStyle w:val="Hyperlink"/>
            <w:noProof/>
            <w:sz w:val="18"/>
            <w:szCs w:val="18"/>
          </w:rPr>
          <w:t>International legislation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_Toc29998548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14</w:t>
        </w:r>
        <w:r w:rsidR="00C7495B" w:rsidRPr="00C7495B">
          <w:rPr>
            <w:noProof/>
            <w:webHidden/>
            <w:sz w:val="18"/>
            <w:szCs w:val="18"/>
          </w:rPr>
          <w:fldChar w:fldCharType="end"/>
        </w:r>
      </w:hyperlink>
    </w:p>
    <w:p w14:paraId="480FC965" w14:textId="3436089D"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49" w:history="1">
        <w:r w:rsidR="00C7495B" w:rsidRPr="00C7495B">
          <w:rPr>
            <w:rStyle w:val="Hyperlink"/>
            <w:noProof/>
            <w:sz w:val="18"/>
            <w:szCs w:val="18"/>
          </w:rPr>
          <w:t>4.2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Non-regulatory measures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_Toc29998549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14</w:t>
        </w:r>
        <w:r w:rsidR="00C7495B" w:rsidRPr="00C7495B">
          <w:rPr>
            <w:noProof/>
            <w:webHidden/>
            <w:sz w:val="18"/>
            <w:szCs w:val="18"/>
          </w:rPr>
          <w:fldChar w:fldCharType="end"/>
        </w:r>
      </w:hyperlink>
    </w:p>
    <w:p w14:paraId="20ADFFD0" w14:textId="27218FDE" w:rsidR="00C7495B" w:rsidRPr="00C7495B" w:rsidRDefault="00C669B8" w:rsidP="00C7495B">
      <w:pPr>
        <w:pStyle w:val="TOC3"/>
        <w:rPr>
          <w:rFonts w:eastAsiaTheme="minorEastAsia" w:cstheme="minorBidi"/>
          <w:noProof/>
          <w:sz w:val="18"/>
          <w:szCs w:val="18"/>
          <w:lang w:eastAsia="en-GB" w:bidi="ar-SA"/>
        </w:rPr>
      </w:pPr>
      <w:hyperlink w:anchor="_Toc29998550" w:history="1">
        <w:r w:rsidR="00C7495B" w:rsidRPr="00C7495B">
          <w:rPr>
            <w:rStyle w:val="Hyperlink"/>
            <w:noProof/>
            <w:sz w:val="18"/>
            <w:szCs w:val="18"/>
          </w:rPr>
          <w:t>4.2.1</w:t>
        </w:r>
        <w:r w:rsidR="00C7495B" w:rsidRPr="00C7495B">
          <w:rPr>
            <w:rFonts w:eastAsiaTheme="minorEastAsia" w:cstheme="minorBidi"/>
            <w:noProof/>
            <w:sz w:val="18"/>
            <w:szCs w:val="18"/>
            <w:lang w:eastAsia="en-GB" w:bidi="ar-SA"/>
          </w:rPr>
          <w:tab/>
        </w:r>
        <w:r w:rsidR="00C7495B" w:rsidRPr="00C7495B">
          <w:rPr>
            <w:rStyle w:val="Hyperlink"/>
            <w:noProof/>
            <w:sz w:val="18"/>
            <w:szCs w:val="18"/>
          </w:rPr>
          <w:t>Food safety schemes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_Toc29998550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14</w:t>
        </w:r>
        <w:r w:rsidR="00C7495B" w:rsidRPr="00C7495B">
          <w:rPr>
            <w:noProof/>
            <w:webHidden/>
            <w:sz w:val="18"/>
            <w:szCs w:val="18"/>
          </w:rPr>
          <w:fldChar w:fldCharType="end"/>
        </w:r>
      </w:hyperlink>
    </w:p>
    <w:p w14:paraId="4E3B8A0E" w14:textId="72241B94" w:rsidR="00C7495B" w:rsidRPr="00C7495B" w:rsidRDefault="00C669B8" w:rsidP="00C7495B">
      <w:pPr>
        <w:pStyle w:val="TOC3"/>
        <w:rPr>
          <w:rFonts w:eastAsiaTheme="minorEastAsia" w:cstheme="minorBidi"/>
          <w:noProof/>
          <w:sz w:val="18"/>
          <w:szCs w:val="18"/>
          <w:lang w:eastAsia="en-GB" w:bidi="ar-SA"/>
        </w:rPr>
      </w:pPr>
      <w:hyperlink w:anchor="_Toc29998551" w:history="1">
        <w:r w:rsidR="00C7495B" w:rsidRPr="00C7495B">
          <w:rPr>
            <w:rStyle w:val="Hyperlink"/>
            <w:noProof/>
            <w:sz w:val="18"/>
            <w:szCs w:val="18"/>
          </w:rPr>
          <w:t>4.2.2</w:t>
        </w:r>
        <w:r w:rsidR="00C7495B" w:rsidRPr="00C7495B">
          <w:rPr>
            <w:rFonts w:eastAsiaTheme="minorEastAsia" w:cstheme="minorBidi"/>
            <w:noProof/>
            <w:sz w:val="18"/>
            <w:szCs w:val="18"/>
            <w:lang w:eastAsia="en-GB" w:bidi="ar-SA"/>
          </w:rPr>
          <w:tab/>
        </w:r>
        <w:r w:rsidR="00C7495B" w:rsidRPr="00C7495B">
          <w:rPr>
            <w:rStyle w:val="Hyperlink"/>
            <w:noProof/>
            <w:sz w:val="18"/>
            <w:szCs w:val="18"/>
          </w:rPr>
          <w:t>Guidance documents and other information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_Toc29998551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15</w:t>
        </w:r>
        <w:r w:rsidR="00C7495B" w:rsidRPr="00C7495B">
          <w:rPr>
            <w:noProof/>
            <w:webHidden/>
            <w:sz w:val="18"/>
            <w:szCs w:val="18"/>
          </w:rPr>
          <w:fldChar w:fldCharType="end"/>
        </w:r>
      </w:hyperlink>
    </w:p>
    <w:p w14:paraId="5D2C1D77" w14:textId="52BA03D8"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52" w:history="1">
        <w:r w:rsidR="00C7495B" w:rsidRPr="00C7495B">
          <w:rPr>
            <w:rStyle w:val="Hyperlink"/>
            <w:noProof/>
            <w:sz w:val="18"/>
            <w:szCs w:val="18"/>
          </w:rPr>
          <w:t>4.3</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Options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_Toc29998552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16</w:t>
        </w:r>
        <w:r w:rsidR="00C7495B" w:rsidRPr="00C7495B">
          <w:rPr>
            <w:noProof/>
            <w:webHidden/>
            <w:sz w:val="18"/>
            <w:szCs w:val="18"/>
          </w:rPr>
          <w:fldChar w:fldCharType="end"/>
        </w:r>
      </w:hyperlink>
    </w:p>
    <w:p w14:paraId="00734B08" w14:textId="0B2A79C7"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53" w:history="1">
        <w:r w:rsidR="00C7495B" w:rsidRPr="00C7495B">
          <w:rPr>
            <w:rStyle w:val="Hyperlink"/>
            <w:noProof/>
            <w:sz w:val="18"/>
            <w:szCs w:val="18"/>
          </w:rPr>
          <w:t>5</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Obligations under the FSANZ Act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_Toc29998553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62121B7D" w14:textId="06E895F2"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54" w:history="1">
        <w:r w:rsidR="00C7495B" w:rsidRPr="00C7495B">
          <w:rPr>
            <w:rStyle w:val="Hyperlink"/>
            <w:noProof/>
            <w:sz w:val="18"/>
            <w:szCs w:val="18"/>
          </w:rPr>
          <w:t>5.1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FSANZ objectives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_Toc29998554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6BB58358" w14:textId="659CEA41" w:rsidR="00C7495B" w:rsidRPr="00C7495B" w:rsidRDefault="00C669B8" w:rsidP="00C7495B">
      <w:pPr>
        <w:pStyle w:val="TOC3"/>
        <w:rPr>
          <w:rFonts w:eastAsiaTheme="minorEastAsia" w:cstheme="minorBidi"/>
          <w:noProof/>
          <w:sz w:val="18"/>
          <w:szCs w:val="18"/>
          <w:lang w:eastAsia="en-GB" w:bidi="ar-SA"/>
        </w:rPr>
      </w:pPr>
      <w:hyperlink w:anchor="_Toc29998555" w:history="1">
        <w:r w:rsidR="00C7495B" w:rsidRPr="00C7495B">
          <w:rPr>
            <w:rStyle w:val="Hyperlink"/>
            <w:noProof/>
            <w:sz w:val="18"/>
            <w:szCs w:val="18"/>
          </w:rPr>
          <w:t>5.1.1</w:t>
        </w:r>
        <w:r w:rsidR="00C7495B" w:rsidRPr="00C7495B">
          <w:rPr>
            <w:rFonts w:eastAsiaTheme="minorEastAsia" w:cstheme="minorBidi"/>
            <w:noProof/>
            <w:sz w:val="18"/>
            <w:szCs w:val="18"/>
            <w:lang w:eastAsia="en-GB" w:bidi="ar-SA"/>
          </w:rPr>
          <w:tab/>
        </w:r>
        <w:r w:rsidR="00C7495B" w:rsidRPr="00C7495B">
          <w:rPr>
            <w:rStyle w:val="Hyperlink"/>
            <w:noProof/>
            <w:sz w:val="18"/>
            <w:szCs w:val="18"/>
          </w:rPr>
          <w:t>Protection of public health and safety</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_Toc29998555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2D7CB2B8" w14:textId="1604B636" w:rsidR="00C7495B" w:rsidRPr="00C7495B" w:rsidRDefault="00C669B8" w:rsidP="00C7495B">
      <w:pPr>
        <w:pStyle w:val="TOC3"/>
        <w:rPr>
          <w:rFonts w:eastAsiaTheme="minorEastAsia" w:cstheme="minorBidi"/>
          <w:noProof/>
          <w:sz w:val="18"/>
          <w:szCs w:val="18"/>
          <w:lang w:eastAsia="en-GB" w:bidi="ar-SA"/>
        </w:rPr>
      </w:pPr>
      <w:hyperlink w:anchor="_Toc29998556" w:history="1">
        <w:r w:rsidR="00C7495B" w:rsidRPr="00C7495B">
          <w:rPr>
            <w:rStyle w:val="Hyperlink"/>
            <w:noProof/>
            <w:sz w:val="18"/>
            <w:szCs w:val="18"/>
          </w:rPr>
          <w:t>5.1.2</w:t>
        </w:r>
        <w:r w:rsidR="00C7495B" w:rsidRPr="00C7495B">
          <w:rPr>
            <w:rFonts w:eastAsiaTheme="minorEastAsia" w:cstheme="minorBidi"/>
            <w:noProof/>
            <w:sz w:val="18"/>
            <w:szCs w:val="18"/>
            <w:lang w:eastAsia="en-GB" w:bidi="ar-SA"/>
          </w:rPr>
          <w:tab/>
        </w:r>
        <w:r w:rsidR="00C7495B" w:rsidRPr="00C7495B">
          <w:rPr>
            <w:rStyle w:val="Hyperlink"/>
            <w:noProof/>
            <w:sz w:val="18"/>
            <w:szCs w:val="18"/>
          </w:rPr>
          <w:t>Provision of adequate information relating to food to enable consumers to make informed choices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_Toc29998556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23E0F81D" w14:textId="3CE091EF" w:rsidR="00C7495B" w:rsidRPr="00C7495B" w:rsidRDefault="00C669B8" w:rsidP="00C7495B">
      <w:pPr>
        <w:pStyle w:val="TOC3"/>
        <w:rPr>
          <w:rFonts w:eastAsiaTheme="minorEastAsia" w:cstheme="minorBidi"/>
          <w:noProof/>
          <w:sz w:val="18"/>
          <w:szCs w:val="18"/>
          <w:lang w:eastAsia="en-GB" w:bidi="ar-SA"/>
        </w:rPr>
      </w:pPr>
      <w:hyperlink w:anchor="_Toc29998557" w:history="1">
        <w:r w:rsidR="00C7495B" w:rsidRPr="00C7495B">
          <w:rPr>
            <w:rStyle w:val="Hyperlink"/>
            <w:noProof/>
            <w:sz w:val="18"/>
            <w:szCs w:val="18"/>
          </w:rPr>
          <w:t>5.1.3</w:t>
        </w:r>
        <w:r w:rsidR="00C7495B" w:rsidRPr="00C7495B">
          <w:rPr>
            <w:rFonts w:eastAsiaTheme="minorEastAsia" w:cstheme="minorBidi"/>
            <w:noProof/>
            <w:sz w:val="18"/>
            <w:szCs w:val="18"/>
            <w:lang w:eastAsia="en-GB" w:bidi="ar-SA"/>
          </w:rPr>
          <w:tab/>
        </w:r>
        <w:r w:rsidR="00C7495B" w:rsidRPr="00C7495B">
          <w:rPr>
            <w:rStyle w:val="Hyperlink"/>
            <w:noProof/>
            <w:sz w:val="18"/>
            <w:szCs w:val="18"/>
          </w:rPr>
          <w:t>Prevention of misleading or deceptive conduct.</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_Toc29998557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089B3E04" w14:textId="5C66DC53" w:rsidR="00C7495B" w:rsidRPr="00C7495B" w:rsidRDefault="00C669B8" w:rsidP="00C7495B">
      <w:pPr>
        <w:pStyle w:val="TOC3"/>
        <w:rPr>
          <w:rFonts w:eastAsiaTheme="minorEastAsia" w:cstheme="minorBidi"/>
          <w:noProof/>
          <w:sz w:val="18"/>
          <w:szCs w:val="18"/>
          <w:lang w:eastAsia="en-GB" w:bidi="ar-SA"/>
        </w:rPr>
      </w:pPr>
      <w:hyperlink w:anchor="_Toc29998558" w:history="1">
        <w:r w:rsidR="00C7495B" w:rsidRPr="00C7495B">
          <w:rPr>
            <w:rStyle w:val="Hyperlink"/>
            <w:noProof/>
            <w:sz w:val="18"/>
            <w:szCs w:val="18"/>
          </w:rPr>
          <w:t>5.1.4</w:t>
        </w:r>
        <w:r w:rsidR="00C7495B" w:rsidRPr="00C7495B">
          <w:rPr>
            <w:rFonts w:eastAsiaTheme="minorEastAsia" w:cstheme="minorBidi"/>
            <w:noProof/>
            <w:sz w:val="18"/>
            <w:szCs w:val="18"/>
            <w:lang w:eastAsia="en-GB" w:bidi="ar-SA"/>
          </w:rPr>
          <w:tab/>
        </w:r>
        <w:r w:rsidR="00C7495B" w:rsidRPr="00C7495B">
          <w:rPr>
            <w:rStyle w:val="Hyperlink"/>
            <w:noProof/>
            <w:sz w:val="18"/>
            <w:szCs w:val="18"/>
          </w:rPr>
          <w:t>Section 18 (2) considerations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_Toc29998558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18</w:t>
        </w:r>
        <w:r w:rsidR="00C7495B" w:rsidRPr="00C7495B">
          <w:rPr>
            <w:noProof/>
            <w:webHidden/>
            <w:sz w:val="18"/>
            <w:szCs w:val="18"/>
          </w:rPr>
          <w:fldChar w:fldCharType="end"/>
        </w:r>
      </w:hyperlink>
    </w:p>
    <w:p w14:paraId="46A6CBE3" w14:textId="50D0D926"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59" w:history="1">
        <w:r w:rsidR="00C7495B" w:rsidRPr="00C7495B">
          <w:rPr>
            <w:rStyle w:val="Hyperlink"/>
            <w:noProof/>
            <w:sz w:val="18"/>
            <w:szCs w:val="18"/>
          </w:rPr>
          <w:t>5.2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Section 59</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_Toc29998559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19</w:t>
        </w:r>
        <w:r w:rsidR="00C7495B" w:rsidRPr="00C7495B">
          <w:rPr>
            <w:noProof/>
            <w:webHidden/>
            <w:sz w:val="18"/>
            <w:szCs w:val="18"/>
          </w:rPr>
          <w:fldChar w:fldCharType="end"/>
        </w:r>
      </w:hyperlink>
    </w:p>
    <w:p w14:paraId="07E8924B" w14:textId="6BA16A8C" w:rsidR="00C7495B" w:rsidRPr="00C7495B" w:rsidRDefault="00C669B8">
      <w:pPr>
        <w:pStyle w:val="TOC1"/>
        <w:tabs>
          <w:tab w:val="left" w:pos="440"/>
          <w:tab w:val="right" w:leader="dot" w:pos="9060"/>
        </w:tabs>
        <w:rPr>
          <w:rFonts w:eastAsiaTheme="minorEastAsia" w:cstheme="minorBidi"/>
          <w:b w:val="0"/>
          <w:bCs w:val="0"/>
          <w:caps w:val="0"/>
          <w:noProof/>
          <w:sz w:val="18"/>
          <w:szCs w:val="18"/>
          <w:lang w:eastAsia="en-GB" w:bidi="ar-SA"/>
        </w:rPr>
      </w:pPr>
      <w:hyperlink w:anchor="_Toc29998560" w:history="1">
        <w:r w:rsidR="00C7495B" w:rsidRPr="00C7495B">
          <w:rPr>
            <w:rStyle w:val="Hyperlink"/>
            <w:noProof/>
            <w:sz w:val="18"/>
            <w:szCs w:val="18"/>
          </w:rPr>
          <w:t>6</w:t>
        </w:r>
        <w:r w:rsidR="00C7495B" w:rsidRPr="00C7495B">
          <w:rPr>
            <w:rFonts w:eastAsiaTheme="minorEastAsia" w:cstheme="minorBidi"/>
            <w:b w:val="0"/>
            <w:bCs w:val="0"/>
            <w:caps w:val="0"/>
            <w:noProof/>
            <w:sz w:val="18"/>
            <w:szCs w:val="18"/>
            <w:lang w:eastAsia="en-GB" w:bidi="ar-SA"/>
          </w:rPr>
          <w:tab/>
        </w:r>
        <w:r w:rsidR="00C7495B" w:rsidRPr="00C7495B">
          <w:rPr>
            <w:rStyle w:val="Hyperlink"/>
            <w:noProof/>
            <w:sz w:val="18"/>
            <w:szCs w:val="18"/>
          </w:rPr>
          <w:t>Risk communication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_Toc29998560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21</w:t>
        </w:r>
        <w:r w:rsidR="00C7495B" w:rsidRPr="00C7495B">
          <w:rPr>
            <w:noProof/>
            <w:webHidden/>
            <w:sz w:val="18"/>
            <w:szCs w:val="18"/>
          </w:rPr>
          <w:fldChar w:fldCharType="end"/>
        </w:r>
      </w:hyperlink>
    </w:p>
    <w:p w14:paraId="0040FE06" w14:textId="5304F86F"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61" w:history="1">
        <w:r w:rsidR="00C7495B" w:rsidRPr="00C7495B">
          <w:rPr>
            <w:rStyle w:val="Hyperlink"/>
            <w:noProof/>
            <w:sz w:val="18"/>
            <w:szCs w:val="18"/>
          </w:rPr>
          <w:t>6.1</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Consultation</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_Toc29998561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21</w:t>
        </w:r>
        <w:r w:rsidR="00C7495B" w:rsidRPr="00C7495B">
          <w:rPr>
            <w:noProof/>
            <w:webHidden/>
            <w:sz w:val="18"/>
            <w:szCs w:val="18"/>
          </w:rPr>
          <w:fldChar w:fldCharType="end"/>
        </w:r>
      </w:hyperlink>
    </w:p>
    <w:p w14:paraId="585DD730" w14:textId="3897C0E4" w:rsidR="00C7495B" w:rsidRPr="00C7495B" w:rsidRDefault="00C669B8" w:rsidP="00C7495B">
      <w:pPr>
        <w:pStyle w:val="TOC3"/>
        <w:rPr>
          <w:rFonts w:eastAsiaTheme="minorEastAsia" w:cstheme="minorBidi"/>
          <w:noProof/>
          <w:sz w:val="18"/>
          <w:szCs w:val="18"/>
          <w:lang w:eastAsia="en-GB" w:bidi="ar-SA"/>
        </w:rPr>
      </w:pPr>
      <w:hyperlink w:anchor="_Toc29998562" w:history="1">
        <w:r w:rsidR="00C7495B" w:rsidRPr="00C7495B">
          <w:rPr>
            <w:rStyle w:val="Hyperlink"/>
            <w:noProof/>
            <w:sz w:val="18"/>
            <w:szCs w:val="18"/>
          </w:rPr>
          <w:t>6.1.1</w:t>
        </w:r>
        <w:r w:rsidR="00C7495B" w:rsidRPr="00C7495B">
          <w:rPr>
            <w:rFonts w:eastAsiaTheme="minorEastAsia" w:cstheme="minorBidi"/>
            <w:noProof/>
            <w:sz w:val="18"/>
            <w:szCs w:val="18"/>
            <w:lang w:eastAsia="en-GB" w:bidi="ar-SA"/>
          </w:rPr>
          <w:tab/>
        </w:r>
        <w:r w:rsidR="00C7495B" w:rsidRPr="00C7495B">
          <w:rPr>
            <w:rStyle w:val="Hyperlink"/>
            <w:noProof/>
            <w:sz w:val="18"/>
            <w:szCs w:val="18"/>
          </w:rPr>
          <w:t>Summary of submissions on 2019 information paper</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_Toc29998562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22</w:t>
        </w:r>
        <w:r w:rsidR="00C7495B" w:rsidRPr="00C7495B">
          <w:rPr>
            <w:noProof/>
            <w:webHidden/>
            <w:sz w:val="18"/>
            <w:szCs w:val="18"/>
          </w:rPr>
          <w:fldChar w:fldCharType="end"/>
        </w:r>
      </w:hyperlink>
    </w:p>
    <w:p w14:paraId="23153052" w14:textId="76572382" w:rsidR="00C7495B" w:rsidRPr="00C7495B" w:rsidRDefault="00C669B8">
      <w:pPr>
        <w:pStyle w:val="TOC2"/>
        <w:tabs>
          <w:tab w:val="left" w:pos="880"/>
          <w:tab w:val="right" w:leader="dot" w:pos="9060"/>
        </w:tabs>
        <w:rPr>
          <w:rFonts w:eastAsiaTheme="minorEastAsia" w:cstheme="minorBidi"/>
          <w:smallCaps w:val="0"/>
          <w:noProof/>
          <w:sz w:val="18"/>
          <w:szCs w:val="18"/>
          <w:lang w:eastAsia="en-GB" w:bidi="ar-SA"/>
        </w:rPr>
      </w:pPr>
      <w:hyperlink w:anchor="_Toc29998563" w:history="1">
        <w:r w:rsidR="00C7495B" w:rsidRPr="00C7495B">
          <w:rPr>
            <w:rStyle w:val="Hyperlink"/>
            <w:noProof/>
            <w:sz w:val="18"/>
            <w:szCs w:val="18"/>
          </w:rPr>
          <w:t>6.2</w:t>
        </w:r>
        <w:r w:rsidR="00C7495B" w:rsidRPr="00C7495B">
          <w:rPr>
            <w:rFonts w:eastAsiaTheme="minorEastAsia" w:cstheme="minorBidi"/>
            <w:smallCaps w:val="0"/>
            <w:noProof/>
            <w:sz w:val="18"/>
            <w:szCs w:val="18"/>
            <w:lang w:eastAsia="en-GB" w:bidi="ar-SA"/>
          </w:rPr>
          <w:tab/>
        </w:r>
        <w:r w:rsidR="00C7495B" w:rsidRPr="00C7495B">
          <w:rPr>
            <w:rStyle w:val="Hyperlink"/>
            <w:noProof/>
            <w:sz w:val="18"/>
            <w:szCs w:val="18"/>
          </w:rPr>
          <w:t>World Trade Organization (WTO)</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_Toc29998563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22</w:t>
        </w:r>
        <w:r w:rsidR="00C7495B" w:rsidRPr="00C7495B">
          <w:rPr>
            <w:noProof/>
            <w:webHidden/>
            <w:sz w:val="18"/>
            <w:szCs w:val="18"/>
          </w:rPr>
          <w:fldChar w:fldCharType="end"/>
        </w:r>
      </w:hyperlink>
    </w:p>
    <w:p w14:paraId="7EEB8085" w14:textId="02F2E112" w:rsidR="00C7495B" w:rsidRPr="00C7495B" w:rsidRDefault="00C669B8">
      <w:pPr>
        <w:pStyle w:val="TOC1"/>
        <w:tabs>
          <w:tab w:val="right" w:leader="dot" w:pos="9060"/>
        </w:tabs>
        <w:rPr>
          <w:rFonts w:eastAsiaTheme="minorEastAsia" w:cstheme="minorBidi"/>
          <w:b w:val="0"/>
          <w:bCs w:val="0"/>
          <w:caps w:val="0"/>
          <w:noProof/>
          <w:sz w:val="18"/>
          <w:szCs w:val="18"/>
          <w:lang w:eastAsia="en-GB" w:bidi="ar-SA"/>
        </w:rPr>
      </w:pPr>
      <w:hyperlink w:anchor="_Toc29998564" w:history="1">
        <w:r w:rsidR="00C7495B" w:rsidRPr="00C7495B">
          <w:rPr>
            <w:rStyle w:val="Hyperlink"/>
            <w:noProof/>
            <w:sz w:val="18"/>
            <w:szCs w:val="18"/>
          </w:rPr>
          <w:t>References</w:t>
        </w:r>
        <w:r w:rsidR="00C7495B" w:rsidRPr="00C7495B">
          <w:rPr>
            <w:noProof/>
            <w:webHidden/>
            <w:sz w:val="18"/>
            <w:szCs w:val="18"/>
          </w:rPr>
          <w:tab/>
        </w:r>
        <w:r w:rsidR="00C7495B" w:rsidRPr="00C7495B">
          <w:rPr>
            <w:noProof/>
            <w:webHidden/>
            <w:sz w:val="18"/>
            <w:szCs w:val="18"/>
          </w:rPr>
          <w:fldChar w:fldCharType="begin"/>
        </w:r>
        <w:r w:rsidR="00C7495B" w:rsidRPr="00C7495B">
          <w:rPr>
            <w:noProof/>
            <w:webHidden/>
            <w:sz w:val="18"/>
            <w:szCs w:val="18"/>
          </w:rPr>
          <w:instrText xml:space="preserve"> PAGEREF _Toc29998564 \h </w:instrText>
        </w:r>
        <w:r w:rsidR="00C7495B" w:rsidRPr="00C7495B">
          <w:rPr>
            <w:noProof/>
            <w:webHidden/>
            <w:sz w:val="18"/>
            <w:szCs w:val="18"/>
          </w:rPr>
        </w:r>
        <w:r w:rsidR="00C7495B" w:rsidRPr="00C7495B">
          <w:rPr>
            <w:noProof/>
            <w:webHidden/>
            <w:sz w:val="18"/>
            <w:szCs w:val="18"/>
          </w:rPr>
          <w:fldChar w:fldCharType="separate"/>
        </w:r>
        <w:r w:rsidR="002615E5">
          <w:rPr>
            <w:noProof/>
            <w:webHidden/>
            <w:sz w:val="18"/>
            <w:szCs w:val="18"/>
          </w:rPr>
          <w:t>23</w:t>
        </w:r>
        <w:r w:rsidR="00C7495B" w:rsidRPr="00C7495B">
          <w:rPr>
            <w:noProof/>
            <w:webHidden/>
            <w:sz w:val="18"/>
            <w:szCs w:val="18"/>
          </w:rPr>
          <w:fldChar w:fldCharType="end"/>
        </w:r>
      </w:hyperlink>
    </w:p>
    <w:p w14:paraId="53E195EB" w14:textId="09C8A888" w:rsidR="0037520F" w:rsidRPr="008844E4" w:rsidRDefault="00051ED9" w:rsidP="0037520F">
      <w:pPr>
        <w:rPr>
          <w:b/>
          <w:szCs w:val="22"/>
        </w:rPr>
      </w:pPr>
      <w:r w:rsidRPr="00C7495B">
        <w:rPr>
          <w:rFonts w:cs="Arial"/>
          <w:sz w:val="18"/>
          <w:szCs w:val="18"/>
        </w:rPr>
        <w:fldChar w:fldCharType="end"/>
      </w:r>
      <w:r w:rsidR="0037520F" w:rsidRPr="008844E4">
        <w:rPr>
          <w:b/>
          <w:szCs w:val="22"/>
        </w:rPr>
        <w:t>Supporting document</w:t>
      </w:r>
      <w:r w:rsidR="0037520F" w:rsidRPr="00F84B98">
        <w:rPr>
          <w:b/>
          <w:szCs w:val="22"/>
        </w:rPr>
        <w:t>s</w:t>
      </w:r>
      <w:r w:rsidR="00EE55EE">
        <w:rPr>
          <w:b/>
          <w:szCs w:val="22"/>
        </w:rPr>
        <w:t xml:space="preserve"> (SD)</w:t>
      </w:r>
    </w:p>
    <w:p w14:paraId="304DC123" w14:textId="77777777" w:rsidR="00C7495B" w:rsidRDefault="00C7495B" w:rsidP="0037520F">
      <w:pPr>
        <w:rPr>
          <w:szCs w:val="22"/>
        </w:rPr>
      </w:pPr>
    </w:p>
    <w:p w14:paraId="2F91FA67" w14:textId="76CCF7DD" w:rsidR="0037520F" w:rsidRDefault="0037520F" w:rsidP="0037520F">
      <w:pPr>
        <w:rPr>
          <w:szCs w:val="22"/>
        </w:rPr>
      </w:pPr>
      <w:r w:rsidRPr="0089264A">
        <w:rPr>
          <w:szCs w:val="22"/>
        </w:rPr>
        <w:t xml:space="preserve">The </w:t>
      </w:r>
      <w:r w:rsidR="00F22008" w:rsidRPr="00F22008">
        <w:rPr>
          <w:szCs w:val="22"/>
        </w:rPr>
        <w:t>following documents</w:t>
      </w:r>
      <w:r w:rsidRPr="00B803AF">
        <w:rPr>
          <w:szCs w:val="22"/>
        </w:rPr>
        <w:t xml:space="preserve"> </w:t>
      </w:r>
      <w:r w:rsidR="00681754">
        <w:rPr>
          <w:szCs w:val="22"/>
        </w:rPr>
        <w:t xml:space="preserve">which informed the assessment of this </w:t>
      </w:r>
      <w:r w:rsidR="00681754" w:rsidRPr="00F84B98">
        <w:rPr>
          <w:szCs w:val="22"/>
        </w:rPr>
        <w:t>Proposal</w:t>
      </w:r>
      <w:r w:rsidRPr="00F84B98">
        <w:rPr>
          <w:szCs w:val="22"/>
        </w:rPr>
        <w:t xml:space="preserve"> </w:t>
      </w:r>
      <w:r>
        <w:rPr>
          <w:szCs w:val="22"/>
        </w:rPr>
        <w:t>are</w:t>
      </w:r>
      <w:r w:rsidRPr="0089264A">
        <w:rPr>
          <w:szCs w:val="22"/>
        </w:rPr>
        <w:t xml:space="preserve"> available on the FSANZ website</w:t>
      </w:r>
      <w:r w:rsidR="00820535">
        <w:rPr>
          <w:szCs w:val="22"/>
        </w:rPr>
        <w:t>:</w:t>
      </w:r>
      <w:r w:rsidR="00B803AF">
        <w:rPr>
          <w:szCs w:val="22"/>
        </w:rPr>
        <w:t xml:space="preserve"> </w:t>
      </w:r>
      <w:hyperlink r:id="rId23" w:history="1">
        <w:r w:rsidR="00453F53" w:rsidRPr="0005302E">
          <w:rPr>
            <w:rStyle w:val="Hyperlink"/>
            <w:szCs w:val="22"/>
          </w:rPr>
          <w:t>http://www.foodstandards.gov.au/code/proposals/Pages/P1052.aspx</w:t>
        </w:r>
      </w:hyperlink>
    </w:p>
    <w:p w14:paraId="7DCB0326" w14:textId="77777777" w:rsidR="0089264A" w:rsidRPr="0089264A" w:rsidRDefault="0089264A" w:rsidP="0089264A">
      <w:pPr>
        <w:rPr>
          <w:color w:val="FF0000"/>
          <w:szCs w:val="22"/>
        </w:rPr>
      </w:pPr>
    </w:p>
    <w:p w14:paraId="4BCA2B81" w14:textId="2B784EFE" w:rsidR="0089264A" w:rsidRDefault="0089264A" w:rsidP="003A7725">
      <w:pPr>
        <w:ind w:left="1134" w:hanging="1134"/>
      </w:pPr>
      <w:r w:rsidRPr="00F84B98">
        <w:t>SD1</w:t>
      </w:r>
      <w:r w:rsidRPr="00F84B98">
        <w:tab/>
      </w:r>
      <w:r w:rsidR="000D2C2B" w:rsidRPr="000D2C2B">
        <w:rPr>
          <w:lang w:bidi="ar-SA"/>
        </w:rPr>
        <w:t>The microbiological assessment approach and foodborne illness summary</w:t>
      </w:r>
      <w:r w:rsidR="000D2C2B">
        <w:rPr>
          <w:lang w:bidi="ar-SA"/>
        </w:rPr>
        <w:t xml:space="preserve"> </w:t>
      </w:r>
    </w:p>
    <w:p w14:paraId="3A49055D" w14:textId="55F4FF41" w:rsidR="00F84B98" w:rsidRDefault="00F84B98" w:rsidP="00F84B98">
      <w:pPr>
        <w:ind w:left="1134" w:hanging="1134"/>
      </w:pPr>
      <w:r>
        <w:t>SD2</w:t>
      </w:r>
      <w:r w:rsidRPr="00F84B98">
        <w:tab/>
      </w:r>
      <w:r w:rsidR="000D2C2B">
        <w:t>Food safety measures for horticultural produce</w:t>
      </w:r>
    </w:p>
    <w:p w14:paraId="25F3C17E" w14:textId="0C55F21A" w:rsidR="00051ED9" w:rsidRDefault="00F84B98" w:rsidP="00C7495B">
      <w:pPr>
        <w:ind w:left="1134" w:hanging="1134"/>
      </w:pPr>
      <w:r>
        <w:t>SD3</w:t>
      </w:r>
      <w:r w:rsidRPr="00F84B98">
        <w:tab/>
      </w:r>
      <w:r w:rsidR="000D2C2B">
        <w:rPr>
          <w:rFonts w:cs="Arial"/>
        </w:rPr>
        <w:t>Overview of the melon, berry and leafy vegetable industries</w:t>
      </w:r>
      <w:r w:rsidR="000D2C2B" w:rsidRPr="00680982">
        <w:rPr>
          <w:rFonts w:cs="Arial"/>
        </w:rPr>
        <w:t xml:space="preserve"> </w:t>
      </w:r>
      <w:r w:rsidR="000D2C2B">
        <w:rPr>
          <w:rFonts w:cs="Arial"/>
        </w:rPr>
        <w:t>in Australia</w:t>
      </w:r>
      <w:r w:rsidR="00562917" w:rsidRPr="00E203C2">
        <w:br w:type="page"/>
      </w:r>
    </w:p>
    <w:p w14:paraId="1352B925" w14:textId="77777777" w:rsidR="00E063C6" w:rsidRDefault="00F33BB8" w:rsidP="000A5DF8">
      <w:pPr>
        <w:pStyle w:val="Heading1"/>
      </w:pPr>
      <w:bookmarkStart w:id="1" w:name="_Toc286391001"/>
      <w:bookmarkStart w:id="2" w:name="_Toc300933414"/>
      <w:bookmarkStart w:id="3" w:name="_Toc27667527"/>
      <w:bookmarkStart w:id="4" w:name="_Toc28953744"/>
      <w:bookmarkStart w:id="5" w:name="_Toc29288638"/>
      <w:bookmarkStart w:id="6" w:name="_Toc29998520"/>
      <w:bookmarkStart w:id="7" w:name="_Toc11735627"/>
      <w:bookmarkStart w:id="8" w:name="_Toc29883110"/>
      <w:bookmarkStart w:id="9" w:name="_Toc41906797"/>
      <w:bookmarkStart w:id="10" w:name="_Toc41907544"/>
      <w:bookmarkStart w:id="11" w:name="_Toc120358575"/>
      <w:r>
        <w:lastRenderedPageBreak/>
        <w:t>E</w:t>
      </w:r>
      <w:r w:rsidR="0037520F">
        <w:t>xecutive s</w:t>
      </w:r>
      <w:r w:rsidR="00E063C6" w:rsidRPr="00E203C2">
        <w:t>ummary</w:t>
      </w:r>
      <w:bookmarkEnd w:id="1"/>
      <w:bookmarkEnd w:id="2"/>
      <w:bookmarkEnd w:id="3"/>
      <w:bookmarkEnd w:id="4"/>
      <w:bookmarkEnd w:id="5"/>
      <w:bookmarkEnd w:id="6"/>
    </w:p>
    <w:p w14:paraId="6DF34372" w14:textId="77777777" w:rsidR="0077573A" w:rsidRDefault="0077573A" w:rsidP="0077573A">
      <w:pPr>
        <w:keepNext/>
      </w:pPr>
      <w:r w:rsidRPr="001C240A">
        <w:t>T</w:t>
      </w:r>
      <w:r>
        <w:t>he vast majority of horticultural</w:t>
      </w:r>
      <w:r w:rsidRPr="001C240A">
        <w:t xml:space="preserve"> produce in Australia is safe and healthy. However outbreaks linked to particular produce sectors continue to occur. </w:t>
      </w:r>
    </w:p>
    <w:p w14:paraId="286F4C66" w14:textId="77777777" w:rsidR="0077573A" w:rsidRDefault="0077573A" w:rsidP="0077573A">
      <w:pPr>
        <w:keepNext/>
      </w:pPr>
    </w:p>
    <w:p w14:paraId="50D2B2C1" w14:textId="6E69FFF7" w:rsidR="0077573A" w:rsidRPr="001C240A" w:rsidRDefault="0077573A" w:rsidP="0077573A">
      <w:pPr>
        <w:keepNext/>
      </w:pPr>
      <w:r w:rsidRPr="001C240A">
        <w:t>At the request of ministers</w:t>
      </w:r>
      <w:r w:rsidR="009417FA">
        <w:t xml:space="preserve"> responsible for food regulation</w:t>
      </w:r>
      <w:r w:rsidRPr="001C240A">
        <w:t xml:space="preserve">, FSANZ is reassessing the need </w:t>
      </w:r>
      <w:r w:rsidR="002802DE">
        <w:t xml:space="preserve">to amend the </w:t>
      </w:r>
      <w:r w:rsidR="002802DE" w:rsidRPr="001C240A">
        <w:rPr>
          <w:lang w:bidi="ar-SA"/>
        </w:rPr>
        <w:t>Australia New Zealand Food Standards Code</w:t>
      </w:r>
      <w:r w:rsidR="002802DE">
        <w:rPr>
          <w:lang w:bidi="ar-SA"/>
        </w:rPr>
        <w:t xml:space="preserve"> (the Code)</w:t>
      </w:r>
      <w:r w:rsidR="002802DE" w:rsidRPr="001C240A">
        <w:t xml:space="preserve"> </w:t>
      </w:r>
      <w:r w:rsidR="002802DE">
        <w:t>to enact</w:t>
      </w:r>
      <w:r w:rsidR="002802DE" w:rsidRPr="001C240A">
        <w:t xml:space="preserve"> </w:t>
      </w:r>
      <w:r w:rsidRPr="001C240A">
        <w:t>a primary production and processing standard to manage food safety for high-risk horticulture.</w:t>
      </w:r>
      <w:r w:rsidRPr="001C240A">
        <w:rPr>
          <w:lang w:bidi="ar-SA"/>
        </w:rPr>
        <w:t xml:space="preserve"> In May 2019, FSANZ released an information paper </w:t>
      </w:r>
      <w:r w:rsidR="00A05506">
        <w:rPr>
          <w:lang w:bidi="ar-SA"/>
        </w:rPr>
        <w:t>foreshadowing reviews of</w:t>
      </w:r>
      <w:r w:rsidRPr="001C240A">
        <w:rPr>
          <w:lang w:bidi="ar-SA"/>
        </w:rPr>
        <w:t xml:space="preserve"> Chapters 3 and 4 of the Code, including </w:t>
      </w:r>
      <w:r w:rsidRPr="001C240A">
        <w:t>requirements for horticulture</w:t>
      </w:r>
      <w:r w:rsidRPr="001C240A">
        <w:rPr>
          <w:lang w:bidi="ar-SA"/>
        </w:rPr>
        <w:t xml:space="preserve">. </w:t>
      </w:r>
      <w:r w:rsidR="009417FA">
        <w:rPr>
          <w:lang w:bidi="ar-SA"/>
        </w:rPr>
        <w:t>Feedback on the information paper showed</w:t>
      </w:r>
      <w:r w:rsidRPr="001C240A">
        <w:t xml:space="preserve"> general support </w:t>
      </w:r>
      <w:r w:rsidR="009417FA">
        <w:t xml:space="preserve">for FSANZ </w:t>
      </w:r>
      <w:r w:rsidRPr="001C240A">
        <w:t>to consider high-risk horticulture, and majority support to develop a standard and traceability provisions.</w:t>
      </w:r>
    </w:p>
    <w:p w14:paraId="3E207DD1" w14:textId="77777777" w:rsidR="0077573A" w:rsidRPr="001C240A" w:rsidRDefault="0077573A" w:rsidP="0077573A">
      <w:pPr>
        <w:rPr>
          <w:lang w:bidi="ar-SA"/>
        </w:rPr>
      </w:pPr>
    </w:p>
    <w:p w14:paraId="7F877D62" w14:textId="46FC4A65" w:rsidR="0077573A" w:rsidRDefault="0077573A" w:rsidP="0077573A">
      <w:pPr>
        <w:rPr>
          <w:lang w:bidi="ar-SA"/>
        </w:rPr>
      </w:pPr>
      <w:r>
        <w:rPr>
          <w:lang w:bidi="ar-SA"/>
        </w:rPr>
        <w:t xml:space="preserve">The purpose of this report is to provide </w:t>
      </w:r>
      <w:r w:rsidR="00D5763A">
        <w:rPr>
          <w:lang w:bidi="ar-SA"/>
        </w:rPr>
        <w:t xml:space="preserve">a summary of </w:t>
      </w:r>
      <w:r w:rsidRPr="001C240A">
        <w:rPr>
          <w:lang w:bidi="ar-SA"/>
        </w:rPr>
        <w:t xml:space="preserve">FSANZ’s </w:t>
      </w:r>
      <w:r>
        <w:rPr>
          <w:lang w:bidi="ar-SA"/>
        </w:rPr>
        <w:t xml:space="preserve">assessment and </w:t>
      </w:r>
      <w:r w:rsidR="00D5763A">
        <w:rPr>
          <w:lang w:bidi="ar-SA"/>
        </w:rPr>
        <w:t xml:space="preserve">of FSANZ’s </w:t>
      </w:r>
      <w:r>
        <w:rPr>
          <w:lang w:bidi="ar-SA"/>
        </w:rPr>
        <w:t xml:space="preserve">preliminary position based on </w:t>
      </w:r>
      <w:r w:rsidR="00D5763A">
        <w:rPr>
          <w:lang w:bidi="ar-SA"/>
        </w:rPr>
        <w:t xml:space="preserve">that </w:t>
      </w:r>
      <w:r>
        <w:rPr>
          <w:lang w:bidi="ar-SA"/>
        </w:rPr>
        <w:t>assessment</w:t>
      </w:r>
      <w:r w:rsidR="00E76C58">
        <w:rPr>
          <w:lang w:bidi="ar-SA"/>
        </w:rPr>
        <w:t>.</w:t>
      </w:r>
      <w:r>
        <w:rPr>
          <w:lang w:bidi="ar-SA"/>
        </w:rPr>
        <w:t xml:space="preserve"> Input is invited </w:t>
      </w:r>
      <w:r w:rsidRPr="001C240A">
        <w:rPr>
          <w:lang w:bidi="ar-SA"/>
        </w:rPr>
        <w:t xml:space="preserve">to </w:t>
      </w:r>
      <w:r>
        <w:rPr>
          <w:lang w:bidi="ar-SA"/>
        </w:rPr>
        <w:t>inform our decision on whether to prepare a variation to the Code.</w:t>
      </w:r>
      <w:r w:rsidRPr="001C240A">
        <w:rPr>
          <w:lang w:bidi="ar-SA"/>
        </w:rPr>
        <w:t xml:space="preserve"> </w:t>
      </w:r>
    </w:p>
    <w:p w14:paraId="0BE21D3A" w14:textId="77777777" w:rsidR="0077573A" w:rsidRDefault="0077573A" w:rsidP="0077573A">
      <w:pPr>
        <w:rPr>
          <w:lang w:bidi="ar-SA"/>
        </w:rPr>
      </w:pPr>
    </w:p>
    <w:p w14:paraId="7C880106" w14:textId="1F118D72" w:rsidR="0077573A" w:rsidRDefault="0077573A" w:rsidP="0077573A">
      <w:r>
        <w:rPr>
          <w:rFonts w:cs="Arial"/>
        </w:rPr>
        <w:t xml:space="preserve">The ongoing </w:t>
      </w:r>
      <w:r w:rsidR="00A05506">
        <w:rPr>
          <w:rFonts w:cs="Arial"/>
        </w:rPr>
        <w:t>foodborne illness</w:t>
      </w:r>
      <w:r>
        <w:rPr>
          <w:rFonts w:cs="Arial"/>
        </w:rPr>
        <w:t xml:space="preserve"> issues and lack of </w:t>
      </w:r>
      <w:r w:rsidR="00354D5E">
        <w:rPr>
          <w:rFonts w:cs="Arial"/>
        </w:rPr>
        <w:t xml:space="preserve">consistent and uniform </w:t>
      </w:r>
      <w:r>
        <w:rPr>
          <w:rFonts w:cs="Arial"/>
        </w:rPr>
        <w:t xml:space="preserve">regulatory measures for horticultural products </w:t>
      </w:r>
      <w:r>
        <w:t xml:space="preserve">suggest </w:t>
      </w:r>
      <w:r w:rsidR="00E76C58">
        <w:t xml:space="preserve">the </w:t>
      </w:r>
      <w:r>
        <w:t xml:space="preserve">current environment, which relies on non-regulatory measures, is not adequate to protect public health and safety and that regulatory measures are required. </w:t>
      </w:r>
    </w:p>
    <w:p w14:paraId="089C43E9" w14:textId="77777777" w:rsidR="0077573A" w:rsidRDefault="0077573A" w:rsidP="0077573A"/>
    <w:p w14:paraId="6DE5F784" w14:textId="059F9BB2" w:rsidR="0077573A" w:rsidRPr="001C240A" w:rsidRDefault="0077573A" w:rsidP="0077573A">
      <w:r w:rsidRPr="001C240A">
        <w:t>The scope of this proposal includes primary production and primary process</w:t>
      </w:r>
      <w:r w:rsidR="00E76C58">
        <w:t>ing activities in three sectors</w:t>
      </w:r>
      <w:r w:rsidRPr="001C240A">
        <w:t>:</w:t>
      </w:r>
    </w:p>
    <w:p w14:paraId="2A5573CC" w14:textId="77777777" w:rsidR="0077573A" w:rsidRPr="001C240A" w:rsidRDefault="0077573A" w:rsidP="0077573A">
      <w:pPr>
        <w:pStyle w:val="ListParagraph"/>
        <w:widowControl/>
        <w:numPr>
          <w:ilvl w:val="0"/>
          <w:numId w:val="5"/>
        </w:numPr>
      </w:pPr>
      <w:r w:rsidRPr="001C240A">
        <w:t>leafy vegetables</w:t>
      </w:r>
    </w:p>
    <w:p w14:paraId="2B4821DE" w14:textId="1EB940CD" w:rsidR="0077573A" w:rsidRPr="001C240A" w:rsidRDefault="0077573A" w:rsidP="0077573A">
      <w:pPr>
        <w:pStyle w:val="ListParagraph"/>
        <w:widowControl/>
        <w:numPr>
          <w:ilvl w:val="0"/>
          <w:numId w:val="5"/>
        </w:numPr>
      </w:pPr>
      <w:r w:rsidRPr="001C240A">
        <w:t>melons</w:t>
      </w:r>
      <w:r w:rsidR="00A05506">
        <w:t>, and</w:t>
      </w:r>
    </w:p>
    <w:p w14:paraId="09480370" w14:textId="77777777" w:rsidR="0077573A" w:rsidRPr="001C240A" w:rsidRDefault="0077573A" w:rsidP="0077573A">
      <w:pPr>
        <w:pStyle w:val="ListParagraph"/>
        <w:widowControl/>
        <w:numPr>
          <w:ilvl w:val="0"/>
          <w:numId w:val="5"/>
        </w:numPr>
      </w:pPr>
      <w:r w:rsidRPr="001C240A">
        <w:t>berries.</w:t>
      </w:r>
    </w:p>
    <w:p w14:paraId="2AB8A599" w14:textId="568AB1F1" w:rsidR="0077573A" w:rsidRDefault="00D5763A" w:rsidP="0077573A">
      <w:pPr>
        <w:keepNext/>
        <w:keepLines/>
      </w:pPr>
      <w:r>
        <w:t>For the reasons outlined in this report, s</w:t>
      </w:r>
      <w:r w:rsidR="0077573A" w:rsidRPr="001C240A">
        <w:t xml:space="preserve">eed sprouts and ready-to-eat (RTE) and minimally processed fruits and vegetables </w:t>
      </w:r>
      <w:r w:rsidR="00A05506">
        <w:t>(</w:t>
      </w:r>
      <w:r w:rsidR="0077573A" w:rsidRPr="001C240A">
        <w:t>besides berries, melons and leafy vegetables</w:t>
      </w:r>
      <w:r w:rsidR="00A05506">
        <w:t>)</w:t>
      </w:r>
      <w:r w:rsidR="0077573A">
        <w:t>,</w:t>
      </w:r>
      <w:r w:rsidR="0077573A" w:rsidRPr="001C240A">
        <w:t xml:space="preserve"> are excluded from the scope</w:t>
      </w:r>
      <w:r w:rsidR="0077573A">
        <w:t xml:space="preserve"> of this proposal. FSANZ will assess if these commodities need further consideration in future work on the review of Chapter</w:t>
      </w:r>
      <w:r w:rsidR="00E76C58">
        <w:t>s</w:t>
      </w:r>
      <w:r w:rsidR="0077573A">
        <w:t xml:space="preserve"> 3 and 4 of the Code. </w:t>
      </w:r>
    </w:p>
    <w:p w14:paraId="08B5A41F" w14:textId="77777777" w:rsidR="0077573A" w:rsidRDefault="0077573A" w:rsidP="0077573A">
      <w:pPr>
        <w:keepNext/>
        <w:keepLines/>
      </w:pPr>
    </w:p>
    <w:p w14:paraId="6B8A5CA0" w14:textId="26F0E7A0" w:rsidR="00376427" w:rsidRDefault="0077573A" w:rsidP="00376427">
      <w:pPr>
        <w:rPr>
          <w:lang w:bidi="ar-SA"/>
        </w:rPr>
      </w:pPr>
      <w:r w:rsidRPr="001C240A">
        <w:rPr>
          <w:lang w:bidi="ar-SA"/>
        </w:rPr>
        <w:t xml:space="preserve">Microbiological hazards </w:t>
      </w:r>
      <w:r>
        <w:rPr>
          <w:lang w:bidi="ar-SA"/>
        </w:rPr>
        <w:t>are</w:t>
      </w:r>
      <w:r w:rsidRPr="001C240A">
        <w:rPr>
          <w:lang w:bidi="ar-SA"/>
        </w:rPr>
        <w:t xml:space="preserve"> the main food safety focus</w:t>
      </w:r>
      <w:r>
        <w:rPr>
          <w:lang w:bidi="ar-SA"/>
        </w:rPr>
        <w:t xml:space="preserve"> considered in this proposal</w:t>
      </w:r>
      <w:r w:rsidRPr="001C240A">
        <w:rPr>
          <w:lang w:bidi="ar-SA"/>
        </w:rPr>
        <w:t xml:space="preserve">. </w:t>
      </w:r>
      <w:r w:rsidDel="0021024E">
        <w:rPr>
          <w:lang w:bidi="ar-SA"/>
        </w:rPr>
        <w:t>O</w:t>
      </w:r>
      <w:r>
        <w:rPr>
          <w:lang w:bidi="ar-SA"/>
        </w:rPr>
        <w:t xml:space="preserve">utbreaks of foodborne illness </w:t>
      </w:r>
      <w:r w:rsidDel="0021024E">
        <w:rPr>
          <w:lang w:bidi="ar-SA"/>
        </w:rPr>
        <w:t xml:space="preserve">continue to be </w:t>
      </w:r>
      <w:r>
        <w:rPr>
          <w:lang w:bidi="ar-SA"/>
        </w:rPr>
        <w:t xml:space="preserve">associated with fresh horticultural produce in Australia and internationally. </w:t>
      </w:r>
      <w:r w:rsidR="00376427">
        <w:rPr>
          <w:lang w:bidi="ar-SA"/>
        </w:rPr>
        <w:t>This Proposal has been informed by the following:</w:t>
      </w:r>
    </w:p>
    <w:p w14:paraId="36105DC9" w14:textId="77777777" w:rsidR="00376427" w:rsidRPr="007D046E" w:rsidRDefault="00376427" w:rsidP="00376427">
      <w:pPr>
        <w:pStyle w:val="ListParagraph"/>
        <w:numPr>
          <w:ilvl w:val="0"/>
          <w:numId w:val="21"/>
        </w:numPr>
        <w:rPr>
          <w:lang w:bidi="ar-SA"/>
        </w:rPr>
      </w:pPr>
      <w:r>
        <w:rPr>
          <w:szCs w:val="32"/>
        </w:rPr>
        <w:t>The assessment undertaken for P1015; and</w:t>
      </w:r>
    </w:p>
    <w:p w14:paraId="2CEAC502" w14:textId="13C3F95A" w:rsidR="00376427" w:rsidRDefault="00376427" w:rsidP="00376427">
      <w:pPr>
        <w:pStyle w:val="ListParagraph"/>
        <w:numPr>
          <w:ilvl w:val="0"/>
          <w:numId w:val="21"/>
        </w:numPr>
        <w:rPr>
          <w:lang w:bidi="ar-SA"/>
        </w:rPr>
      </w:pPr>
      <w:r>
        <w:rPr>
          <w:szCs w:val="32"/>
        </w:rPr>
        <w:lastRenderedPageBreak/>
        <w:t>An analysis of relevant Australia and international foodborne illness outbreak data between 2011-2019 (e.g. since P1015 assessment) and Australian recall data (refer SD1)</w:t>
      </w:r>
      <w:r w:rsidR="000E019B">
        <w:rPr>
          <w:szCs w:val="32"/>
        </w:rPr>
        <w:t xml:space="preserve">. </w:t>
      </w:r>
    </w:p>
    <w:p w14:paraId="022E2D59" w14:textId="21E297B8" w:rsidR="0077573A" w:rsidRDefault="00376427" w:rsidP="0077573A">
      <w:pPr>
        <w:rPr>
          <w:lang w:bidi="ar-SA"/>
        </w:rPr>
      </w:pPr>
      <w:r w:rsidDel="00376427">
        <w:rPr>
          <w:lang w:bidi="ar-SA"/>
        </w:rPr>
        <w:t xml:space="preserve"> </w:t>
      </w:r>
    </w:p>
    <w:p w14:paraId="408E60EF" w14:textId="0EC9E36F" w:rsidR="0077573A" w:rsidRDefault="0077573A" w:rsidP="0077573A">
      <w:pPr>
        <w:rPr>
          <w:rFonts w:cs="Arial"/>
        </w:rPr>
      </w:pPr>
      <w:r>
        <w:rPr>
          <w:rFonts w:cs="Arial"/>
        </w:rPr>
        <w:t xml:space="preserve">The earlier </w:t>
      </w:r>
      <w:r>
        <w:t xml:space="preserve">assessment </w:t>
      </w:r>
      <w:r w:rsidR="009417FA">
        <w:t xml:space="preserve">of foodborne illness </w:t>
      </w:r>
      <w:r w:rsidRPr="00F42F30">
        <w:t xml:space="preserve">reaffirmed </w:t>
      </w:r>
      <w:r>
        <w:t xml:space="preserve">the </w:t>
      </w:r>
      <w:r w:rsidRPr="00F42F30">
        <w:t>assumption</w:t>
      </w:r>
      <w:r>
        <w:t xml:space="preserve"> that fresh leafy vegetables, fresh leafy herbs, </w:t>
      </w:r>
      <w:r w:rsidRPr="000545E1">
        <w:rPr>
          <w:rFonts w:cs="Arial"/>
        </w:rPr>
        <w:t>rockmelons</w:t>
      </w:r>
      <w:r>
        <w:rPr>
          <w:rFonts w:cs="Arial"/>
        </w:rPr>
        <w:t>,</w:t>
      </w:r>
      <w:r w:rsidRPr="000545E1">
        <w:rPr>
          <w:rFonts w:cs="Arial"/>
        </w:rPr>
        <w:t xml:space="preserve"> fresh and semi-dried tomatoes and raspberries</w:t>
      </w:r>
      <w:r>
        <w:rPr>
          <w:rFonts w:cs="Arial"/>
        </w:rPr>
        <w:t xml:space="preserve"> were commonly associated with illness, while also noting the difficulties involved with </w:t>
      </w:r>
      <w:r w:rsidRPr="00723D4F">
        <w:t>source attribution</w:t>
      </w:r>
      <w:r>
        <w:t xml:space="preserve"> and determining the </w:t>
      </w:r>
      <w:r w:rsidRPr="00723D4F">
        <w:t>exact mechanism of produce contamination.</w:t>
      </w:r>
      <w:r>
        <w:t xml:space="preserve"> </w:t>
      </w:r>
      <w:r w:rsidRPr="000545E1">
        <w:rPr>
          <w:rFonts w:cs="Arial"/>
        </w:rPr>
        <w:t xml:space="preserve">The </w:t>
      </w:r>
      <w:r>
        <w:rPr>
          <w:rFonts w:cs="Arial"/>
        </w:rPr>
        <w:t>assessment also</w:t>
      </w:r>
      <w:r w:rsidRPr="000545E1">
        <w:rPr>
          <w:rFonts w:cs="Arial"/>
        </w:rPr>
        <w:t xml:space="preserve"> identified </w:t>
      </w:r>
      <w:r>
        <w:rPr>
          <w:rFonts w:cs="Arial"/>
        </w:rPr>
        <w:t xml:space="preserve">key risk factors involved in produce contamination and control measures. Key contributing factors included use of pre- and post-harvest water, environmental factors and poor hygienic practices. </w:t>
      </w:r>
    </w:p>
    <w:p w14:paraId="3129941C" w14:textId="77777777" w:rsidR="0077573A" w:rsidRDefault="0077573A" w:rsidP="0077573A">
      <w:pPr>
        <w:rPr>
          <w:lang w:bidi="ar-SA"/>
        </w:rPr>
      </w:pPr>
    </w:p>
    <w:p w14:paraId="2323B424" w14:textId="49E897DF" w:rsidR="0077573A" w:rsidRPr="001C240A" w:rsidRDefault="00D5763A" w:rsidP="0077573A">
      <w:r>
        <w:rPr>
          <w:lang w:bidi="ar-SA"/>
        </w:rPr>
        <w:t xml:space="preserve">In addition to the </w:t>
      </w:r>
      <w:r w:rsidR="00354D5E">
        <w:rPr>
          <w:lang w:bidi="ar-SA"/>
        </w:rPr>
        <w:t>earlier</w:t>
      </w:r>
      <w:r>
        <w:rPr>
          <w:lang w:bidi="ar-SA"/>
        </w:rPr>
        <w:t xml:space="preserve"> assessment, FSANZ undertook a </w:t>
      </w:r>
      <w:r w:rsidR="0077573A" w:rsidRPr="001C240A">
        <w:rPr>
          <w:lang w:bidi="ar-SA"/>
        </w:rPr>
        <w:t xml:space="preserve">preliminary assessment of </w:t>
      </w:r>
      <w:r w:rsidR="0077573A">
        <w:rPr>
          <w:lang w:bidi="ar-SA"/>
        </w:rPr>
        <w:t xml:space="preserve">Australian and international </w:t>
      </w:r>
      <w:r w:rsidR="0077573A" w:rsidRPr="001C240A">
        <w:rPr>
          <w:lang w:bidi="ar-SA"/>
        </w:rPr>
        <w:t xml:space="preserve">outbreaks </w:t>
      </w:r>
      <w:r w:rsidR="0077573A">
        <w:rPr>
          <w:lang w:bidi="ar-SA"/>
        </w:rPr>
        <w:t xml:space="preserve">between </w:t>
      </w:r>
      <w:r w:rsidR="0077573A" w:rsidRPr="001C240A">
        <w:rPr>
          <w:lang w:bidi="ar-SA"/>
        </w:rPr>
        <w:t>2011</w:t>
      </w:r>
      <w:r w:rsidR="0077573A" w:rsidRPr="001C240A">
        <w:t>–</w:t>
      </w:r>
      <w:r w:rsidR="0077573A" w:rsidRPr="001C240A">
        <w:rPr>
          <w:lang w:bidi="ar-SA"/>
        </w:rPr>
        <w:t>2019</w:t>
      </w:r>
      <w:r>
        <w:rPr>
          <w:lang w:bidi="ar-SA"/>
        </w:rPr>
        <w:t>. This</w:t>
      </w:r>
      <w:r w:rsidR="0077573A" w:rsidRPr="001C240A">
        <w:rPr>
          <w:lang w:bidi="ar-SA"/>
        </w:rPr>
        <w:t xml:space="preserve"> indicates </w:t>
      </w:r>
      <w:r>
        <w:rPr>
          <w:lang w:bidi="ar-SA"/>
        </w:rPr>
        <w:t>that deaths and</w:t>
      </w:r>
      <w:r w:rsidR="00A05506">
        <w:rPr>
          <w:lang w:bidi="ar-SA"/>
        </w:rPr>
        <w:t xml:space="preserve"> serious illnesses associated with high-risk horticultural produce</w:t>
      </w:r>
      <w:r>
        <w:rPr>
          <w:lang w:bidi="ar-SA"/>
        </w:rPr>
        <w:t xml:space="preserve"> continue to occur</w:t>
      </w:r>
      <w:r w:rsidR="00BC4993">
        <w:rPr>
          <w:lang w:bidi="ar-SA"/>
        </w:rPr>
        <w:t>,</w:t>
      </w:r>
      <w:r w:rsidR="00A05506">
        <w:rPr>
          <w:lang w:bidi="ar-SA"/>
        </w:rPr>
        <w:t xml:space="preserve"> and also that</w:t>
      </w:r>
      <w:r w:rsidR="0077573A" w:rsidRPr="001C240A">
        <w:rPr>
          <w:lang w:bidi="ar-SA"/>
        </w:rPr>
        <w:t xml:space="preserve"> the </w:t>
      </w:r>
      <w:r w:rsidR="0077573A">
        <w:rPr>
          <w:lang w:bidi="ar-SA"/>
        </w:rPr>
        <w:t>conclusions of the earlier assessment still</w:t>
      </w:r>
      <w:r w:rsidR="0077573A" w:rsidRPr="001C240A">
        <w:rPr>
          <w:lang w:bidi="ar-SA"/>
        </w:rPr>
        <w:t xml:space="preserve"> largely apply. </w:t>
      </w:r>
      <w:r w:rsidR="0077573A" w:rsidRPr="001C240A">
        <w:t>Commodity sectors most often associated with outbreaks were leafy vegetables (lettuces, bagged salads), melons and berries. Contamination of produce most commonly resulted from using poor quality water on-farm, and failings in hygiene and sanitation throughout the production and supply chain.</w:t>
      </w:r>
    </w:p>
    <w:p w14:paraId="2BC284DF" w14:textId="77777777" w:rsidR="0077573A" w:rsidRPr="001C240A" w:rsidRDefault="0077573A" w:rsidP="0077573A">
      <w:pPr>
        <w:rPr>
          <w:rFonts w:cs="Arial"/>
          <w:szCs w:val="22"/>
        </w:rPr>
      </w:pPr>
    </w:p>
    <w:p w14:paraId="607036E7" w14:textId="04F4647A" w:rsidR="0077573A" w:rsidRPr="001C240A" w:rsidRDefault="0077573A" w:rsidP="00697241">
      <w:pPr>
        <w:keepNext/>
        <w:keepLines/>
      </w:pPr>
      <w:r w:rsidRPr="001C240A">
        <w:t xml:space="preserve">There are currently no </w:t>
      </w:r>
      <w:r w:rsidR="00354D5E">
        <w:t xml:space="preserve">uniform and consistent </w:t>
      </w:r>
      <w:r w:rsidRPr="001C240A">
        <w:t>national regulatory food safety requirements applying specifically to the primary production and processing of horticultural produce, except for seed sprouts. In the states and territories, food safety aspects</w:t>
      </w:r>
      <w:r w:rsidRPr="001C240A" w:rsidDel="009F1F3C">
        <w:t xml:space="preserve"> of </w:t>
      </w:r>
      <w:r w:rsidRPr="001C240A">
        <w:t>horticultural produce are regulated to varying degrees. Some jurisdictions set out food safety scheme requirements</w:t>
      </w:r>
      <w:r>
        <w:t xml:space="preserve"> in regulations under their food acts.</w:t>
      </w:r>
    </w:p>
    <w:p w14:paraId="4BF7183B" w14:textId="77777777" w:rsidR="0077573A" w:rsidRDefault="0077573A" w:rsidP="0077573A"/>
    <w:p w14:paraId="616960E1" w14:textId="78C26A78" w:rsidR="0077573A" w:rsidRDefault="009417FA" w:rsidP="0077573A">
      <w:pPr>
        <w:widowControl/>
        <w:rPr>
          <w:lang w:eastAsia="en-AU"/>
        </w:rPr>
      </w:pPr>
      <w:r>
        <w:t>Non-regulatory measures include industry f</w:t>
      </w:r>
      <w:r w:rsidR="0077573A">
        <w:t xml:space="preserve">ood safety schemes </w:t>
      </w:r>
      <w:r>
        <w:t xml:space="preserve">which </w:t>
      </w:r>
      <w:r w:rsidR="0077573A" w:rsidRPr="001C240A">
        <w:t>are voluntary, highly prescriptive schemes implement</w:t>
      </w:r>
      <w:r>
        <w:t>ed by businesses wanting</w:t>
      </w:r>
      <w:r w:rsidR="0077573A" w:rsidRPr="001C240A">
        <w:t xml:space="preserve"> to comply with retailer requirements. </w:t>
      </w:r>
      <w:r w:rsidR="0077573A">
        <w:rPr>
          <w:lang w:eastAsia="en-AU"/>
        </w:rPr>
        <w:t>Although there are less schemes used now than in 2012, there is still similar coverage in requirements across the supply chain. Based on limited information</w:t>
      </w:r>
      <w:r w:rsidR="00376427" w:rsidRPr="00376427">
        <w:rPr>
          <w:lang w:eastAsia="en-AU"/>
        </w:rPr>
        <w:t xml:space="preserve"> </w:t>
      </w:r>
      <w:r w:rsidR="00376427">
        <w:rPr>
          <w:lang w:eastAsia="en-AU"/>
        </w:rPr>
        <w:t>available</w:t>
      </w:r>
      <w:r w:rsidR="0077573A">
        <w:rPr>
          <w:lang w:eastAsia="en-AU"/>
        </w:rPr>
        <w:t>, the efficacy of current schemes was unable to be determined.</w:t>
      </w:r>
    </w:p>
    <w:p w14:paraId="22B68297" w14:textId="77777777" w:rsidR="0077573A" w:rsidRDefault="0077573A" w:rsidP="0077573A"/>
    <w:p w14:paraId="4EBC8F14" w14:textId="38314E94" w:rsidR="0077573A" w:rsidRDefault="0077573A" w:rsidP="0077573A">
      <w:r>
        <w:t>I</w:t>
      </w:r>
      <w:r w:rsidRPr="00000888">
        <w:t xml:space="preserve">nvestigations into some of the more recent outbreaks indicated </w:t>
      </w:r>
      <w:r>
        <w:t xml:space="preserve">businesses had </w:t>
      </w:r>
      <w:r w:rsidRPr="00000888">
        <w:t xml:space="preserve">food safety schemes in place, but </w:t>
      </w:r>
      <w:r>
        <w:t>these had not been</w:t>
      </w:r>
      <w:r w:rsidRPr="00000888">
        <w:t xml:space="preserve"> effective </w:t>
      </w:r>
      <w:r>
        <w:t>in</w:t>
      </w:r>
      <w:r w:rsidRPr="004864BB">
        <w:t xml:space="preserve"> avoid</w:t>
      </w:r>
      <w:r>
        <w:t xml:space="preserve">ing </w:t>
      </w:r>
      <w:r w:rsidRPr="00000888">
        <w:t xml:space="preserve">an outbreak. This suggests that the level of assurance provided by such schemes </w:t>
      </w:r>
      <w:r w:rsidR="00BC4993">
        <w:t>may</w:t>
      </w:r>
      <w:r w:rsidRPr="00000888">
        <w:t xml:space="preserve"> </w:t>
      </w:r>
      <w:r w:rsidR="00354D5E">
        <w:t>alone be insufficient to address food safety risks and to protect public health and safety</w:t>
      </w:r>
      <w:r w:rsidRPr="00000888">
        <w:t>.</w:t>
      </w:r>
    </w:p>
    <w:p w14:paraId="32C9E342" w14:textId="77777777" w:rsidR="0077573A" w:rsidRDefault="0077573A" w:rsidP="0077573A"/>
    <w:p w14:paraId="06203186" w14:textId="77777777" w:rsidR="0077573A" w:rsidRDefault="0077573A" w:rsidP="0077573A">
      <w:pPr>
        <w:keepNext/>
        <w:keepLines/>
      </w:pPr>
      <w:r>
        <w:lastRenderedPageBreak/>
        <w:t>FSANZ’s preliminary view, based on the assessment to date, is that:</w:t>
      </w:r>
    </w:p>
    <w:p w14:paraId="1C188D4A" w14:textId="5996654F" w:rsidR="0077573A" w:rsidRDefault="0077573A" w:rsidP="0077573A">
      <w:pPr>
        <w:pStyle w:val="ListParagraph"/>
        <w:keepNext/>
        <w:keepLines/>
        <w:numPr>
          <w:ilvl w:val="0"/>
          <w:numId w:val="28"/>
        </w:numPr>
      </w:pPr>
      <w:r>
        <w:t>The status quo (Option 1)</w:t>
      </w:r>
      <w:r w:rsidR="00BC4993">
        <w:t>,</w:t>
      </w:r>
      <w:r>
        <w:t xml:space="preserve"> which is based on non-regulatory measures, appears </w:t>
      </w:r>
      <w:r w:rsidR="00CE7C0C">
        <w:t>in</w:t>
      </w:r>
      <w:r>
        <w:t xml:space="preserve">adequate </w:t>
      </w:r>
      <w:r w:rsidR="00376427">
        <w:t xml:space="preserve">to </w:t>
      </w:r>
      <w:r w:rsidR="00CE7C0C">
        <w:t xml:space="preserve">effectively </w:t>
      </w:r>
      <w:r w:rsidR="00376427">
        <w:t xml:space="preserve">manage </w:t>
      </w:r>
      <w:r>
        <w:t>the risk to public health and safety.</w:t>
      </w:r>
    </w:p>
    <w:p w14:paraId="74F11EC8" w14:textId="77777777" w:rsidR="0077573A" w:rsidRDefault="0077573A" w:rsidP="0077573A">
      <w:pPr>
        <w:keepNext/>
        <w:keepLines/>
      </w:pPr>
    </w:p>
    <w:p w14:paraId="6136C2C2" w14:textId="54641862" w:rsidR="0077573A" w:rsidRDefault="0077573A" w:rsidP="0077573A">
      <w:pPr>
        <w:pStyle w:val="ListParagraph"/>
        <w:keepNext/>
        <w:keepLines/>
        <w:numPr>
          <w:ilvl w:val="0"/>
          <w:numId w:val="28"/>
        </w:numPr>
      </w:pPr>
      <w:r>
        <w:t xml:space="preserve">Development of regulatory measures (Option 2) is our preferred approach. The particular form of regulatory measure taken has yet to be decided, but may include </w:t>
      </w:r>
      <w:r w:rsidR="009F303A">
        <w:t>a graduated risk-based approach</w:t>
      </w:r>
      <w:r w:rsidR="00376427">
        <w:t>,</w:t>
      </w:r>
      <w:r w:rsidR="009F303A">
        <w:t xml:space="preserve"> or </w:t>
      </w:r>
      <w:r>
        <w:t>amendments to definitions</w:t>
      </w:r>
      <w:r w:rsidR="00BC4993">
        <w:t xml:space="preserve"> which would allow application of existing requirements to previously excluded businesses</w:t>
      </w:r>
      <w:r w:rsidR="000E019B">
        <w:t xml:space="preserve">. </w:t>
      </w:r>
    </w:p>
    <w:p w14:paraId="0CDA8018" w14:textId="77777777" w:rsidR="0077573A" w:rsidRDefault="0077573A" w:rsidP="0077573A">
      <w:pPr>
        <w:keepNext/>
        <w:rPr>
          <w:lang w:bidi="ar-SA"/>
        </w:rPr>
      </w:pPr>
    </w:p>
    <w:p w14:paraId="3570D69C" w14:textId="11BB3366" w:rsidR="0077573A" w:rsidRDefault="00CE7C0C" w:rsidP="0077573A">
      <w:pPr>
        <w:keepNext/>
        <w:rPr>
          <w:lang w:bidi="ar-SA"/>
        </w:rPr>
      </w:pPr>
      <w:r>
        <w:rPr>
          <w:lang w:bidi="ar-SA"/>
        </w:rPr>
        <w:t>FSANZ’s decision whether to prepare a regulatory measure and, if so, the form that that measure will take</w:t>
      </w:r>
      <w:r w:rsidR="00376427">
        <w:rPr>
          <w:lang w:bidi="ar-SA"/>
        </w:rPr>
        <w:t>,</w:t>
      </w:r>
      <w:r>
        <w:rPr>
          <w:lang w:bidi="ar-SA"/>
        </w:rPr>
        <w:t xml:space="preserve"> will </w:t>
      </w:r>
      <w:r w:rsidR="0077573A">
        <w:rPr>
          <w:lang w:bidi="ar-SA"/>
        </w:rPr>
        <w:t>be informed by information received in response to</w:t>
      </w:r>
      <w:r w:rsidR="009417FA">
        <w:rPr>
          <w:lang w:bidi="ar-SA"/>
        </w:rPr>
        <w:t xml:space="preserve"> this call for</w:t>
      </w:r>
      <w:r w:rsidR="0077573A">
        <w:rPr>
          <w:lang w:bidi="ar-SA"/>
        </w:rPr>
        <w:t xml:space="preserve"> submissions, targeted consultation and cost benefit analysis.</w:t>
      </w:r>
    </w:p>
    <w:p w14:paraId="44E5F9DC" w14:textId="77777777" w:rsidR="0077573A" w:rsidRDefault="0077573A" w:rsidP="0077573A">
      <w:pPr>
        <w:keepNext/>
        <w:rPr>
          <w:lang w:bidi="ar-SA"/>
        </w:rPr>
      </w:pPr>
    </w:p>
    <w:p w14:paraId="45AF48EF" w14:textId="44CC191C" w:rsidR="0077573A" w:rsidRPr="001C240A" w:rsidRDefault="0077573A" w:rsidP="0077573A">
      <w:pPr>
        <w:keepNext/>
        <w:rPr>
          <w:lang w:bidi="ar-SA"/>
        </w:rPr>
      </w:pPr>
      <w:r w:rsidRPr="001C240A">
        <w:rPr>
          <w:lang w:bidi="ar-SA"/>
        </w:rPr>
        <w:t xml:space="preserve">The proposal </w:t>
      </w:r>
      <w:r>
        <w:rPr>
          <w:lang w:bidi="ar-SA"/>
        </w:rPr>
        <w:t>is being assessed</w:t>
      </w:r>
      <w:r w:rsidRPr="001C240A">
        <w:rPr>
          <w:lang w:bidi="ar-SA"/>
        </w:rPr>
        <w:t xml:space="preserve"> under FSANZ’s major </w:t>
      </w:r>
      <w:r>
        <w:rPr>
          <w:lang w:bidi="ar-SA"/>
        </w:rPr>
        <w:t>procedure</w:t>
      </w:r>
      <w:r w:rsidRPr="001C240A">
        <w:rPr>
          <w:lang w:bidi="ar-SA"/>
        </w:rPr>
        <w:t>, w</w:t>
      </w:r>
      <w:r>
        <w:rPr>
          <w:lang w:bidi="ar-SA"/>
        </w:rPr>
        <w:t>hich requires</w:t>
      </w:r>
      <w:r w:rsidRPr="001C240A">
        <w:rPr>
          <w:lang w:bidi="ar-SA"/>
        </w:rPr>
        <w:t xml:space="preserve"> two</w:t>
      </w:r>
      <w:r>
        <w:rPr>
          <w:lang w:bidi="ar-SA"/>
        </w:rPr>
        <w:t xml:space="preserve"> rounds of</w:t>
      </w:r>
      <w:r w:rsidRPr="001C240A">
        <w:rPr>
          <w:lang w:bidi="ar-SA"/>
        </w:rPr>
        <w:t xml:space="preserve"> public</w:t>
      </w:r>
      <w:r>
        <w:rPr>
          <w:lang w:bidi="ar-SA"/>
        </w:rPr>
        <w:t xml:space="preserve"> consultation</w:t>
      </w:r>
      <w:r w:rsidRPr="001C240A">
        <w:rPr>
          <w:lang w:bidi="ar-SA"/>
        </w:rPr>
        <w:t xml:space="preserve">. </w:t>
      </w:r>
      <w:r>
        <w:rPr>
          <w:lang w:bidi="ar-SA"/>
        </w:rPr>
        <w:t xml:space="preserve">Submitters are invited to provide comment on the issues and questions posed in this report. </w:t>
      </w:r>
      <w:r w:rsidRPr="001C240A">
        <w:rPr>
          <w:lang w:bidi="ar-SA"/>
        </w:rPr>
        <w:t xml:space="preserve">We will also engage with targeted industry groups, food regulators and the Horticulture Standards Development Advisory Group. </w:t>
      </w:r>
      <w:r>
        <w:rPr>
          <w:lang w:bidi="ar-SA"/>
        </w:rPr>
        <w:t>Information received from submissions and targeted consultation will inform any proposed draft variation which</w:t>
      </w:r>
      <w:r w:rsidR="00CE7C0C">
        <w:rPr>
          <w:lang w:bidi="ar-SA"/>
        </w:rPr>
        <w:t>, if made,</w:t>
      </w:r>
      <w:r>
        <w:rPr>
          <w:lang w:bidi="ar-SA"/>
        </w:rPr>
        <w:t xml:space="preserve"> will </w:t>
      </w:r>
      <w:r w:rsidR="00CE7C0C">
        <w:rPr>
          <w:lang w:bidi="ar-SA"/>
        </w:rPr>
        <w:t xml:space="preserve">also be made </w:t>
      </w:r>
      <w:r>
        <w:rPr>
          <w:lang w:bidi="ar-SA"/>
        </w:rPr>
        <w:t xml:space="preserve">available for public comment. </w:t>
      </w:r>
    </w:p>
    <w:p w14:paraId="708DD4C2" w14:textId="77777777" w:rsidR="0077573A" w:rsidRPr="003A01FB" w:rsidRDefault="0077573A" w:rsidP="0077573A"/>
    <w:p w14:paraId="61164717" w14:textId="77777777" w:rsidR="00B60BBE" w:rsidRPr="001C240A" w:rsidRDefault="00B60BBE" w:rsidP="00D73931">
      <w:pPr>
        <w:rPr>
          <w:lang w:bidi="ar-SA"/>
        </w:rPr>
      </w:pPr>
    </w:p>
    <w:p w14:paraId="6033D331" w14:textId="68467AC7" w:rsidR="00676BC0" w:rsidRPr="00A74CDC" w:rsidRDefault="0053464E" w:rsidP="00443C43">
      <w:pPr>
        <w:pStyle w:val="ListParagraph"/>
        <w:numPr>
          <w:ilvl w:val="1"/>
          <w:numId w:val="17"/>
        </w:numPr>
      </w:pPr>
      <w:bookmarkStart w:id="12" w:name="_Toc286391003"/>
      <w:r w:rsidRPr="00A74CDC">
        <w:br w:type="page"/>
      </w:r>
    </w:p>
    <w:p w14:paraId="6C398981" w14:textId="77777777" w:rsidR="002A5F8B" w:rsidRPr="000B6AF2" w:rsidRDefault="00F33BB8" w:rsidP="000B6AF2">
      <w:pPr>
        <w:pStyle w:val="Heading1"/>
      </w:pPr>
      <w:bookmarkStart w:id="13" w:name="_Toc300933417"/>
      <w:bookmarkStart w:id="14" w:name="_Toc27667528"/>
      <w:bookmarkStart w:id="15" w:name="_Toc28953745"/>
      <w:bookmarkStart w:id="16" w:name="_Toc29288639"/>
      <w:bookmarkStart w:id="17" w:name="_Toc29998521"/>
      <w:r>
        <w:lastRenderedPageBreak/>
        <w:t>1</w:t>
      </w:r>
      <w:r w:rsidR="001542D8">
        <w:tab/>
      </w:r>
      <w:r w:rsidR="002A5F8B" w:rsidRPr="000B6AF2">
        <w:t>Introduction</w:t>
      </w:r>
      <w:bookmarkEnd w:id="12"/>
      <w:bookmarkEnd w:id="13"/>
      <w:bookmarkEnd w:id="14"/>
      <w:bookmarkEnd w:id="15"/>
      <w:bookmarkEnd w:id="16"/>
      <w:bookmarkEnd w:id="17"/>
    </w:p>
    <w:p w14:paraId="16725EA7" w14:textId="3D184B21" w:rsidR="0053464E" w:rsidRPr="0053464E" w:rsidRDefault="00F33BB8" w:rsidP="00A56E34">
      <w:pPr>
        <w:pStyle w:val="Heading2"/>
      </w:pPr>
      <w:bookmarkStart w:id="18" w:name="_Toc300761891"/>
      <w:bookmarkStart w:id="19" w:name="_Toc300933420"/>
      <w:bookmarkStart w:id="20" w:name="_Toc27667529"/>
      <w:bookmarkStart w:id="21" w:name="_Toc28953746"/>
      <w:bookmarkStart w:id="22" w:name="_Toc29288640"/>
      <w:bookmarkStart w:id="23" w:name="_Toc29998522"/>
      <w:r>
        <w:t>1</w:t>
      </w:r>
      <w:r w:rsidR="00F84B98">
        <w:t>.1</w:t>
      </w:r>
      <w:r w:rsidR="0053464E" w:rsidRPr="0053464E">
        <w:tab/>
        <w:t xml:space="preserve">The </w:t>
      </w:r>
      <w:bookmarkEnd w:id="18"/>
      <w:r w:rsidR="004D5C15">
        <w:t>p</w:t>
      </w:r>
      <w:r w:rsidR="00256D65" w:rsidRPr="00F84B98">
        <w:t>roposal</w:t>
      </w:r>
      <w:bookmarkEnd w:id="19"/>
      <w:bookmarkEnd w:id="20"/>
      <w:bookmarkEnd w:id="21"/>
      <w:bookmarkEnd w:id="22"/>
      <w:bookmarkEnd w:id="23"/>
    </w:p>
    <w:p w14:paraId="38886895" w14:textId="4C3E8F1C" w:rsidR="00F064DE" w:rsidRPr="00FA01EA" w:rsidRDefault="00B7011D" w:rsidP="0053464E">
      <w:r>
        <w:t>At the request of m</w:t>
      </w:r>
      <w:r w:rsidR="008B5DCF" w:rsidRPr="00FA01EA">
        <w:t>inisters</w:t>
      </w:r>
      <w:r w:rsidR="009417FA">
        <w:t xml:space="preserve"> responsible for food regulation</w:t>
      </w:r>
      <w:r w:rsidR="008B5DCF" w:rsidRPr="00FA01EA">
        <w:t xml:space="preserve">, FSANZ is reassessing the need </w:t>
      </w:r>
      <w:r w:rsidR="00FA01EA">
        <w:t>for</w:t>
      </w:r>
      <w:r w:rsidR="00F064DE" w:rsidRPr="00FA01EA">
        <w:t xml:space="preserve"> a primary production and processing standard </w:t>
      </w:r>
      <w:r w:rsidR="00DA0B9F">
        <w:t xml:space="preserve">(PPP) </w:t>
      </w:r>
      <w:r w:rsidR="00AA2B81">
        <w:t>to</w:t>
      </w:r>
      <w:r w:rsidR="00AA2B81" w:rsidRPr="00FA01EA">
        <w:t xml:space="preserve"> manage food safety </w:t>
      </w:r>
      <w:r w:rsidR="00FA01EA">
        <w:t xml:space="preserve">for </w:t>
      </w:r>
      <w:r w:rsidR="00AA2B81">
        <w:t>high-risk</w:t>
      </w:r>
      <w:r w:rsidR="00FA01EA">
        <w:t xml:space="preserve"> horticulture</w:t>
      </w:r>
      <w:r w:rsidR="00F064DE" w:rsidRPr="00FA01EA">
        <w:t>, including requirements for traceability</w:t>
      </w:r>
      <w:r w:rsidR="00FA01EA">
        <w:t>.</w:t>
      </w:r>
    </w:p>
    <w:p w14:paraId="28F40921" w14:textId="6C4D9D3F" w:rsidR="008048A2" w:rsidRDefault="008048A2" w:rsidP="0053464E"/>
    <w:p w14:paraId="688BEDF4" w14:textId="61BC1FEF" w:rsidR="00095940" w:rsidRDefault="00C45E62" w:rsidP="00FA01EA">
      <w:pPr>
        <w:widowControl/>
        <w:autoSpaceDE w:val="0"/>
        <w:autoSpaceDN w:val="0"/>
        <w:adjustRightInd w:val="0"/>
        <w:rPr>
          <w:rFonts w:cs="Arial"/>
          <w:szCs w:val="22"/>
          <w:lang w:eastAsia="en-GB" w:bidi="ar-SA"/>
        </w:rPr>
      </w:pPr>
      <w:r>
        <w:t xml:space="preserve">PPP </w:t>
      </w:r>
      <w:r w:rsidR="008048A2" w:rsidRPr="00FA01EA">
        <w:t xml:space="preserve">standards are incorporated into Chapter 4 of the </w:t>
      </w:r>
      <w:r w:rsidR="00C0393D">
        <w:t xml:space="preserve">Australia New Zealand Food Standards Code (the </w:t>
      </w:r>
      <w:r w:rsidR="008048A2" w:rsidRPr="00FA01EA">
        <w:t>Code</w:t>
      </w:r>
      <w:r w:rsidR="00C0393D">
        <w:t>)</w:t>
      </w:r>
      <w:r w:rsidR="008048A2" w:rsidRPr="00FA01EA">
        <w:t xml:space="preserve"> and </w:t>
      </w:r>
      <w:r w:rsidR="002871FB">
        <w:t>apply to</w:t>
      </w:r>
      <w:r w:rsidR="008048A2" w:rsidRPr="00FA01EA">
        <w:t xml:space="preserve"> Australia</w:t>
      </w:r>
      <w:r w:rsidR="002871FB">
        <w:t xml:space="preserve"> </w:t>
      </w:r>
      <w:r w:rsidR="008048A2" w:rsidRPr="00FA01EA">
        <w:t xml:space="preserve">only. </w:t>
      </w:r>
      <w:r w:rsidR="002871FB">
        <w:t>Together</w:t>
      </w:r>
      <w:r w:rsidR="002871FB" w:rsidRPr="00FA01EA">
        <w:t xml:space="preserve"> </w:t>
      </w:r>
      <w:r w:rsidR="008048A2" w:rsidRPr="00FA01EA">
        <w:t xml:space="preserve">with other standards in the Code, </w:t>
      </w:r>
      <w:r w:rsidR="002871FB" w:rsidRPr="00FA01EA">
        <w:t>the</w:t>
      </w:r>
      <w:r w:rsidR="002871FB">
        <w:t xml:space="preserve"> PPP</w:t>
      </w:r>
      <w:r w:rsidR="002871FB" w:rsidRPr="00FA01EA">
        <w:t xml:space="preserve"> </w:t>
      </w:r>
      <w:r w:rsidR="008048A2" w:rsidRPr="00FA01EA">
        <w:t xml:space="preserve">standards provide </w:t>
      </w:r>
      <w:r w:rsidR="00095940">
        <w:t>a through-chain</w:t>
      </w:r>
      <w:r w:rsidR="008048A2" w:rsidRPr="00FA01EA">
        <w:t xml:space="preserve"> approach to managing food safety </w:t>
      </w:r>
      <w:r w:rsidR="002871FB">
        <w:t xml:space="preserve">(i.e. </w:t>
      </w:r>
      <w:r w:rsidR="00095940">
        <w:t xml:space="preserve">from </w:t>
      </w:r>
      <w:r w:rsidR="008048A2" w:rsidRPr="00FA01EA">
        <w:t xml:space="preserve">production on </w:t>
      </w:r>
      <w:r w:rsidR="002871FB">
        <w:t xml:space="preserve">the </w:t>
      </w:r>
      <w:r w:rsidR="008048A2" w:rsidRPr="00FA01EA">
        <w:t>farm through to sale to consumer</w:t>
      </w:r>
      <w:r w:rsidR="00095940">
        <w:t>s</w:t>
      </w:r>
      <w:r w:rsidR="002871FB">
        <w:t>)</w:t>
      </w:r>
      <w:r w:rsidR="008048A2" w:rsidRPr="00FA01EA">
        <w:t xml:space="preserve">. </w:t>
      </w:r>
      <w:r w:rsidR="00095940">
        <w:t>The d</w:t>
      </w:r>
      <w:r w:rsidR="00FA01EA" w:rsidRPr="00FA01EA">
        <w:t>evelopment and application of standards</w:t>
      </w:r>
      <w:r w:rsidR="00FA01EA" w:rsidRPr="00FA01EA">
        <w:rPr>
          <w:rFonts w:cs="Arial"/>
          <w:szCs w:val="22"/>
          <w:lang w:eastAsia="en-GB" w:bidi="ar-SA"/>
        </w:rPr>
        <w:t xml:space="preserve"> </w:t>
      </w:r>
      <w:r w:rsidR="00095940">
        <w:rPr>
          <w:rFonts w:cs="Arial"/>
          <w:szCs w:val="22"/>
          <w:lang w:eastAsia="en-GB" w:bidi="ar-SA"/>
        </w:rPr>
        <w:t>requires</w:t>
      </w:r>
      <w:r w:rsidR="00FA01EA" w:rsidRPr="00FA01EA">
        <w:rPr>
          <w:rFonts w:cs="Arial"/>
          <w:szCs w:val="22"/>
          <w:lang w:eastAsia="en-GB" w:bidi="ar-SA"/>
        </w:rPr>
        <w:t xml:space="preserve"> </w:t>
      </w:r>
      <w:r w:rsidR="00095940">
        <w:rPr>
          <w:rFonts w:cs="Arial"/>
          <w:szCs w:val="22"/>
          <w:lang w:eastAsia="en-GB" w:bidi="ar-SA"/>
        </w:rPr>
        <w:t>analyse</w:t>
      </w:r>
      <w:r w:rsidR="00FA01EA" w:rsidRPr="00FA01EA">
        <w:rPr>
          <w:rFonts w:cs="Arial"/>
          <w:szCs w:val="22"/>
          <w:lang w:eastAsia="en-GB" w:bidi="ar-SA"/>
        </w:rPr>
        <w:t>s of</w:t>
      </w:r>
      <w:r w:rsidR="00095940">
        <w:rPr>
          <w:rFonts w:cs="Arial"/>
          <w:szCs w:val="22"/>
          <w:lang w:eastAsia="en-GB" w:bidi="ar-SA"/>
        </w:rPr>
        <w:t>:</w:t>
      </w:r>
    </w:p>
    <w:p w14:paraId="25FE1A8C" w14:textId="5E4B1EAD" w:rsidR="00095940" w:rsidRDefault="00FA01EA" w:rsidP="00443C43">
      <w:pPr>
        <w:pStyle w:val="FSBullet"/>
        <w:numPr>
          <w:ilvl w:val="0"/>
          <w:numId w:val="8"/>
        </w:numPr>
        <w:rPr>
          <w:szCs w:val="22"/>
          <w:lang w:eastAsia="en-GB" w:bidi="ar-SA"/>
        </w:rPr>
      </w:pPr>
      <w:r w:rsidRPr="00FA01EA">
        <w:rPr>
          <w:szCs w:val="22"/>
          <w:lang w:eastAsia="en-GB" w:bidi="ar-SA"/>
        </w:rPr>
        <w:t xml:space="preserve">public health and safety risks </w:t>
      </w:r>
    </w:p>
    <w:p w14:paraId="1CCA4DD6" w14:textId="638C62C0" w:rsidR="00095940" w:rsidRPr="00095940" w:rsidRDefault="00FA01EA" w:rsidP="00443C43">
      <w:pPr>
        <w:pStyle w:val="FSBullet"/>
        <w:numPr>
          <w:ilvl w:val="0"/>
          <w:numId w:val="8"/>
        </w:numPr>
        <w:rPr>
          <w:szCs w:val="22"/>
          <w:lang w:eastAsia="en-GB" w:bidi="ar-SA"/>
        </w:rPr>
      </w:pPr>
      <w:r w:rsidRPr="00FA01EA">
        <w:rPr>
          <w:szCs w:val="22"/>
          <w:lang w:eastAsia="en-GB" w:bidi="ar-SA"/>
        </w:rPr>
        <w:t xml:space="preserve">economic and social factors </w:t>
      </w:r>
    </w:p>
    <w:p w14:paraId="7C881E67" w14:textId="00655A9D" w:rsidR="00095940" w:rsidRPr="00095940" w:rsidRDefault="008048A2" w:rsidP="00443C43">
      <w:pPr>
        <w:pStyle w:val="FSBullet"/>
        <w:numPr>
          <w:ilvl w:val="0"/>
          <w:numId w:val="8"/>
        </w:numPr>
        <w:rPr>
          <w:szCs w:val="22"/>
          <w:lang w:eastAsia="en-GB" w:bidi="ar-SA"/>
        </w:rPr>
      </w:pPr>
      <w:r w:rsidRPr="00FA01EA">
        <w:t xml:space="preserve">existing </w:t>
      </w:r>
      <w:r w:rsidR="00D02101">
        <w:t>requirements</w:t>
      </w:r>
      <w:r w:rsidRPr="00FA01EA">
        <w:t xml:space="preserve"> (e.g. state/territory legislation) </w:t>
      </w:r>
    </w:p>
    <w:p w14:paraId="28EAAE2D" w14:textId="1B095508" w:rsidR="00095940" w:rsidRPr="00095940" w:rsidRDefault="008048A2" w:rsidP="00443C43">
      <w:pPr>
        <w:pStyle w:val="FSBullet"/>
        <w:numPr>
          <w:ilvl w:val="0"/>
          <w:numId w:val="8"/>
        </w:numPr>
        <w:rPr>
          <w:szCs w:val="22"/>
          <w:lang w:eastAsia="en-GB" w:bidi="ar-SA"/>
        </w:rPr>
      </w:pPr>
      <w:r w:rsidRPr="00FA01EA">
        <w:t>industry codes of practice or guidelines</w:t>
      </w:r>
      <w:r w:rsidR="009417FA">
        <w:t>, and</w:t>
      </w:r>
      <w:r w:rsidRPr="00FA01EA">
        <w:t xml:space="preserve"> </w:t>
      </w:r>
    </w:p>
    <w:p w14:paraId="74DADDB8" w14:textId="77777777" w:rsidR="00095940" w:rsidRPr="00095940" w:rsidRDefault="008048A2" w:rsidP="00443C43">
      <w:pPr>
        <w:pStyle w:val="FSBullet"/>
        <w:numPr>
          <w:ilvl w:val="0"/>
          <w:numId w:val="8"/>
        </w:numPr>
        <w:rPr>
          <w:szCs w:val="22"/>
          <w:lang w:eastAsia="en-GB" w:bidi="ar-SA"/>
        </w:rPr>
      </w:pPr>
      <w:r w:rsidRPr="00FA01EA">
        <w:t>accredited food safety systems.</w:t>
      </w:r>
      <w:r w:rsidR="00FA01EA" w:rsidRPr="00FA01EA">
        <w:t xml:space="preserve"> </w:t>
      </w:r>
    </w:p>
    <w:p w14:paraId="0E656E61" w14:textId="77777777" w:rsidR="003174BC" w:rsidRDefault="003174BC" w:rsidP="00095940">
      <w:pPr>
        <w:pStyle w:val="FSBullet"/>
        <w:ind w:left="54" w:firstLine="0"/>
        <w:rPr>
          <w:szCs w:val="22"/>
          <w:lang w:eastAsia="en-GB" w:bidi="ar-SA"/>
        </w:rPr>
      </w:pPr>
    </w:p>
    <w:p w14:paraId="4CD1DD37" w14:textId="094FA155" w:rsidR="008048A2" w:rsidRDefault="00FA01EA" w:rsidP="00095940">
      <w:pPr>
        <w:pStyle w:val="FSBullet"/>
        <w:ind w:left="54" w:firstLine="0"/>
        <w:rPr>
          <w:szCs w:val="22"/>
          <w:lang w:eastAsia="en-GB" w:bidi="ar-SA"/>
        </w:rPr>
      </w:pPr>
      <w:r w:rsidRPr="00FA01EA">
        <w:rPr>
          <w:szCs w:val="22"/>
          <w:lang w:eastAsia="en-GB" w:bidi="ar-SA"/>
        </w:rPr>
        <w:t>FSANZ has developed</w:t>
      </w:r>
      <w:r w:rsidR="00AA2B81">
        <w:rPr>
          <w:szCs w:val="22"/>
          <w:lang w:eastAsia="en-GB" w:bidi="ar-SA"/>
        </w:rPr>
        <w:t xml:space="preserve"> PPP standards</w:t>
      </w:r>
      <w:r w:rsidRPr="00FA01EA">
        <w:rPr>
          <w:szCs w:val="22"/>
          <w:lang w:eastAsia="en-GB" w:bidi="ar-SA"/>
        </w:rPr>
        <w:t xml:space="preserve"> for the seafood, dairy, egg, meat, poultry and seed sprouts sectors.</w:t>
      </w:r>
    </w:p>
    <w:p w14:paraId="6E2BB600" w14:textId="4F60881E" w:rsidR="00E85523" w:rsidRDefault="00E85523" w:rsidP="00FA01EA">
      <w:pPr>
        <w:widowControl/>
        <w:autoSpaceDE w:val="0"/>
        <w:autoSpaceDN w:val="0"/>
        <w:adjustRightInd w:val="0"/>
        <w:rPr>
          <w:rFonts w:cs="Arial"/>
          <w:szCs w:val="22"/>
          <w:lang w:eastAsia="en-GB" w:bidi="ar-SA"/>
        </w:rPr>
      </w:pPr>
    </w:p>
    <w:p w14:paraId="40759567" w14:textId="683F87CA" w:rsidR="00E85523" w:rsidRDefault="00CE7C0C" w:rsidP="00E85523">
      <w:pPr>
        <w:widowControl/>
        <w:autoSpaceDE w:val="0"/>
        <w:autoSpaceDN w:val="0"/>
        <w:adjustRightInd w:val="0"/>
        <w:rPr>
          <w:rFonts w:cs="Arial"/>
          <w:szCs w:val="22"/>
          <w:lang w:eastAsia="en-GB" w:bidi="ar-SA"/>
        </w:rPr>
      </w:pPr>
      <w:r>
        <w:rPr>
          <w:rFonts w:cs="Arial"/>
          <w:szCs w:val="22"/>
          <w:lang w:eastAsia="en-GB" w:bidi="ar-SA"/>
        </w:rPr>
        <w:t xml:space="preserve">A Horticulture Implementation Working Group (HIWG) has also been established by the </w:t>
      </w:r>
      <w:r>
        <w:t>Implementation Subcommittee on Food Regulation (ISFR</w:t>
      </w:r>
      <w:r>
        <w:rPr>
          <w:rFonts w:cs="Arial"/>
          <w:szCs w:val="22"/>
          <w:lang w:eastAsia="en-GB" w:bidi="ar-SA"/>
        </w:rPr>
        <w:t xml:space="preserve">) to ensure any amendments to the Code are consistently implemented at the national level. </w:t>
      </w:r>
      <w:r w:rsidR="00DB50E3">
        <w:rPr>
          <w:rFonts w:cs="Arial"/>
          <w:szCs w:val="22"/>
          <w:lang w:eastAsia="en-GB" w:bidi="ar-SA"/>
        </w:rPr>
        <w:t>A</w:t>
      </w:r>
      <w:r w:rsidR="00E85523">
        <w:rPr>
          <w:rFonts w:cs="Arial"/>
          <w:szCs w:val="22"/>
          <w:lang w:eastAsia="en-GB" w:bidi="ar-SA"/>
        </w:rPr>
        <w:t xml:space="preserve"> Standard Development Advisory Group consisting of</w:t>
      </w:r>
      <w:r w:rsidR="00DB50E3">
        <w:rPr>
          <w:rFonts w:cs="Arial"/>
          <w:szCs w:val="22"/>
          <w:lang w:eastAsia="en-GB" w:bidi="ar-SA"/>
        </w:rPr>
        <w:t xml:space="preserve"> </w:t>
      </w:r>
      <w:r w:rsidR="00E85523">
        <w:rPr>
          <w:rFonts w:cs="Arial"/>
          <w:szCs w:val="22"/>
          <w:lang w:eastAsia="en-GB" w:bidi="ar-SA"/>
        </w:rPr>
        <w:t>representatives from industry</w:t>
      </w:r>
      <w:r w:rsidR="00DB50E3">
        <w:rPr>
          <w:rFonts w:cs="Arial"/>
          <w:szCs w:val="22"/>
          <w:lang w:eastAsia="en-GB" w:bidi="ar-SA"/>
        </w:rPr>
        <w:t xml:space="preserve"> peak bodies </w:t>
      </w:r>
      <w:r w:rsidR="00E85523">
        <w:rPr>
          <w:rFonts w:cs="Arial"/>
          <w:szCs w:val="22"/>
          <w:lang w:eastAsia="en-GB" w:bidi="ar-SA"/>
        </w:rPr>
        <w:t>and government regulators</w:t>
      </w:r>
      <w:r w:rsidR="00DB50E3">
        <w:rPr>
          <w:rFonts w:cs="Arial"/>
          <w:szCs w:val="22"/>
          <w:lang w:eastAsia="en-GB" w:bidi="ar-SA"/>
        </w:rPr>
        <w:t xml:space="preserve"> will be established</w:t>
      </w:r>
      <w:r w:rsidR="00E85523">
        <w:rPr>
          <w:rFonts w:cs="Arial"/>
          <w:szCs w:val="22"/>
          <w:lang w:eastAsia="en-GB" w:bidi="ar-SA"/>
        </w:rPr>
        <w:t xml:space="preserve"> to assist</w:t>
      </w:r>
      <w:r w:rsidR="000C3A51">
        <w:rPr>
          <w:rFonts w:cs="Arial"/>
          <w:szCs w:val="22"/>
          <w:lang w:eastAsia="en-GB" w:bidi="ar-SA"/>
        </w:rPr>
        <w:t xml:space="preserve"> with</w:t>
      </w:r>
      <w:r w:rsidR="00E85523">
        <w:rPr>
          <w:rFonts w:cs="Arial"/>
          <w:szCs w:val="22"/>
          <w:lang w:eastAsia="en-GB" w:bidi="ar-SA"/>
        </w:rPr>
        <w:t xml:space="preserve"> and advise </w:t>
      </w:r>
      <w:r w:rsidR="000C3A51">
        <w:rPr>
          <w:rFonts w:cs="Arial"/>
          <w:szCs w:val="22"/>
          <w:lang w:eastAsia="en-GB" w:bidi="ar-SA"/>
        </w:rPr>
        <w:t>on</w:t>
      </w:r>
      <w:r w:rsidR="00E85523">
        <w:rPr>
          <w:rFonts w:cs="Arial"/>
          <w:szCs w:val="22"/>
          <w:lang w:eastAsia="en-GB" w:bidi="ar-SA"/>
        </w:rPr>
        <w:t xml:space="preserve"> </w:t>
      </w:r>
      <w:r w:rsidR="005F278D">
        <w:rPr>
          <w:rFonts w:cs="Arial"/>
          <w:szCs w:val="22"/>
          <w:lang w:eastAsia="en-GB" w:bidi="ar-SA"/>
        </w:rPr>
        <w:t xml:space="preserve">the current </w:t>
      </w:r>
      <w:r w:rsidR="00C86C38">
        <w:rPr>
          <w:rFonts w:cs="Arial"/>
          <w:szCs w:val="22"/>
          <w:lang w:eastAsia="en-GB" w:bidi="ar-SA"/>
        </w:rPr>
        <w:t>work</w:t>
      </w:r>
      <w:r w:rsidR="00E85523">
        <w:rPr>
          <w:rFonts w:cs="Arial"/>
          <w:szCs w:val="22"/>
          <w:lang w:eastAsia="en-GB" w:bidi="ar-SA"/>
        </w:rPr>
        <w:t>.</w:t>
      </w:r>
      <w:r w:rsidR="004653F6">
        <w:rPr>
          <w:rFonts w:cs="Arial"/>
          <w:szCs w:val="22"/>
          <w:lang w:eastAsia="en-GB" w:bidi="ar-SA"/>
        </w:rPr>
        <w:t xml:space="preserve"> </w:t>
      </w:r>
    </w:p>
    <w:p w14:paraId="5F18E0F0" w14:textId="72EC2EFA" w:rsidR="00610B99" w:rsidRPr="008B6C00" w:rsidRDefault="00610B99" w:rsidP="008B6C00">
      <w:pPr>
        <w:pStyle w:val="Heading2"/>
      </w:pPr>
      <w:bookmarkStart w:id="24" w:name="_Toc29998523"/>
      <w:r>
        <w:t>1.</w:t>
      </w:r>
      <w:r w:rsidR="008B6C00">
        <w:t>2</w:t>
      </w:r>
      <w:r w:rsidR="00000888">
        <w:tab/>
      </w:r>
      <w:r w:rsidRPr="008B6C00">
        <w:t xml:space="preserve">Reasons for </w:t>
      </w:r>
      <w:r>
        <w:t>preparing the p</w:t>
      </w:r>
      <w:r w:rsidRPr="00F84B98">
        <w:t>roposal</w:t>
      </w:r>
      <w:bookmarkEnd w:id="24"/>
    </w:p>
    <w:p w14:paraId="587A38D1" w14:textId="5C84EAAD" w:rsidR="00610B99" w:rsidRPr="001C240A" w:rsidRDefault="00610B99" w:rsidP="00610B99">
      <w:pPr>
        <w:widowControl/>
        <w:autoSpaceDE w:val="0"/>
        <w:autoSpaceDN w:val="0"/>
        <w:adjustRightInd w:val="0"/>
      </w:pPr>
      <w:r w:rsidRPr="001C240A">
        <w:t xml:space="preserve">While the vast majority of produce is safe and healthy, </w:t>
      </w:r>
      <w:r w:rsidR="00C0393D">
        <w:t xml:space="preserve">foodborne illness </w:t>
      </w:r>
      <w:r w:rsidRPr="001C240A">
        <w:t xml:space="preserve">outbreaks linked to </w:t>
      </w:r>
      <w:r w:rsidR="0042362C">
        <w:t xml:space="preserve">high-risk </w:t>
      </w:r>
      <w:r w:rsidRPr="001C240A">
        <w:t>horticultur</w:t>
      </w:r>
      <w:r w:rsidR="0042362C">
        <w:t>al</w:t>
      </w:r>
      <w:r w:rsidRPr="001C240A">
        <w:t xml:space="preserve"> produce continue to occur</w:t>
      </w:r>
      <w:r w:rsidR="0042362C">
        <w:t>.</w:t>
      </w:r>
    </w:p>
    <w:p w14:paraId="63E29DC3" w14:textId="77777777" w:rsidR="00610B99" w:rsidRDefault="00610B99" w:rsidP="00610B99">
      <w:pPr>
        <w:tabs>
          <w:tab w:val="left" w:pos="1134"/>
        </w:tabs>
        <w:rPr>
          <w:lang w:val="en-AU"/>
        </w:rPr>
      </w:pPr>
    </w:p>
    <w:p w14:paraId="07CB3B01" w14:textId="2A3BA0DC" w:rsidR="00610B99" w:rsidRDefault="00610B99" w:rsidP="00610B99">
      <w:pPr>
        <w:tabs>
          <w:tab w:val="left" w:pos="1134"/>
        </w:tabs>
        <w:rPr>
          <w:rFonts w:cs="Arial"/>
          <w:szCs w:val="20"/>
        </w:rPr>
      </w:pPr>
      <w:r>
        <w:rPr>
          <w:lang w:val="en-AU"/>
        </w:rPr>
        <w:t xml:space="preserve">Foodborne illness is largely preventable, but remains an ongoing and, sometimes, serious concern. </w:t>
      </w:r>
      <w:r w:rsidR="00354D5E">
        <w:rPr>
          <w:lang w:val="en-AU"/>
        </w:rPr>
        <w:t>In 2010, a</w:t>
      </w:r>
      <w:r w:rsidR="00BE032C">
        <w:rPr>
          <w:lang w:val="en-AU"/>
        </w:rPr>
        <w:t xml:space="preserve">nnual foodborne illness in Australia </w:t>
      </w:r>
      <w:r w:rsidR="00354D5E">
        <w:rPr>
          <w:lang w:val="en-AU"/>
        </w:rPr>
        <w:t>was</w:t>
      </w:r>
      <w:r w:rsidR="00BE032C">
        <w:rPr>
          <w:lang w:val="en-AU"/>
        </w:rPr>
        <w:t xml:space="preserve"> estimated at</w:t>
      </w:r>
      <w:r w:rsidRPr="0034408F">
        <w:rPr>
          <w:szCs w:val="22"/>
        </w:rPr>
        <w:t xml:space="preserve"> 4.1 million cases</w:t>
      </w:r>
      <w:r>
        <w:rPr>
          <w:szCs w:val="22"/>
        </w:rPr>
        <w:t>, along with</w:t>
      </w:r>
      <w:r w:rsidRPr="0034408F">
        <w:rPr>
          <w:szCs w:val="22"/>
        </w:rPr>
        <w:t xml:space="preserve"> 5140 cases of non-gastrointestinal illness, 35</w:t>
      </w:r>
      <w:r>
        <w:rPr>
          <w:szCs w:val="22"/>
        </w:rPr>
        <w:t>,</w:t>
      </w:r>
      <w:r w:rsidRPr="0034408F">
        <w:rPr>
          <w:szCs w:val="22"/>
        </w:rPr>
        <w:t>840 cases of sequelae</w:t>
      </w:r>
      <w:r>
        <w:rPr>
          <w:szCs w:val="22"/>
        </w:rPr>
        <w:t xml:space="preserve"> (conditions </w:t>
      </w:r>
      <w:r>
        <w:rPr>
          <w:szCs w:val="22"/>
        </w:rPr>
        <w:lastRenderedPageBreak/>
        <w:t>that arise following illness, e.g. reactive arthritis),</w:t>
      </w:r>
      <w:r w:rsidRPr="0034408F">
        <w:rPr>
          <w:szCs w:val="22"/>
        </w:rPr>
        <w:t xml:space="preserve"> 31</w:t>
      </w:r>
      <w:r>
        <w:rPr>
          <w:szCs w:val="22"/>
        </w:rPr>
        <w:t>,</w:t>
      </w:r>
      <w:r w:rsidRPr="0034408F">
        <w:rPr>
          <w:szCs w:val="22"/>
        </w:rPr>
        <w:t xml:space="preserve">920 hospitalisations and 86 deaths </w:t>
      </w:r>
      <w:r>
        <w:rPr>
          <w:szCs w:val="22"/>
        </w:rPr>
        <w:fldChar w:fldCharType="begin"/>
      </w:r>
      <w:r>
        <w:rPr>
          <w:szCs w:val="22"/>
        </w:rPr>
        <w:instrText>ADDIN CITAVI.PLACEHOLDER f056925d-e16e-4aa5-a7bc-a5c97b9de816 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VwYXJ0bWVudCBvZiBIZWFsdGggMjAxNCk8L1RleHQ+DQogICAgPC9UZXh0VW5pdD4NCiAgPC9UZXh0VW5pdHM+DQo8L1BsYWNlaG9sZGVyPg==</w:instrText>
      </w:r>
      <w:r>
        <w:rPr>
          <w:szCs w:val="22"/>
        </w:rPr>
        <w:fldChar w:fldCharType="separate"/>
      </w:r>
      <w:r>
        <w:rPr>
          <w:szCs w:val="22"/>
        </w:rPr>
        <w:t>(Department of Health 2014)</w:t>
      </w:r>
      <w:r>
        <w:rPr>
          <w:szCs w:val="22"/>
        </w:rPr>
        <w:fldChar w:fldCharType="end"/>
      </w:r>
      <w:r>
        <w:rPr>
          <w:szCs w:val="22"/>
        </w:rPr>
        <w:t xml:space="preserve">. </w:t>
      </w:r>
      <w:r w:rsidR="00BE032C">
        <w:rPr>
          <w:szCs w:val="22"/>
        </w:rPr>
        <w:t>Of the known causes, n</w:t>
      </w:r>
      <w:r>
        <w:t xml:space="preserve">orovirus, </w:t>
      </w:r>
      <w:r>
        <w:rPr>
          <w:i/>
        </w:rPr>
        <w:t>Escherichia coli</w:t>
      </w:r>
      <w:r>
        <w:t xml:space="preserve">, </w:t>
      </w:r>
      <w:r>
        <w:rPr>
          <w:i/>
        </w:rPr>
        <w:t>Campylobacter</w:t>
      </w:r>
      <w:r>
        <w:t xml:space="preserve"> and </w:t>
      </w:r>
      <w:r>
        <w:rPr>
          <w:i/>
        </w:rPr>
        <w:t>Salmonella</w:t>
      </w:r>
      <w:r>
        <w:t xml:space="preserve"> </w:t>
      </w:r>
      <w:r w:rsidR="00BE032C">
        <w:t>are</w:t>
      </w:r>
      <w:r>
        <w:t xml:space="preserve"> the most common</w:t>
      </w:r>
      <w:r w:rsidR="00BE032C">
        <w:t>, although</w:t>
      </w:r>
      <w:r>
        <w:t xml:space="preserve"> around 80% of</w:t>
      </w:r>
      <w:r w:rsidRPr="008237A9">
        <w:t xml:space="preserve"> </w:t>
      </w:r>
      <w:r>
        <w:t xml:space="preserve">foodborne illnesses have an unknown cause. Outbreaks of illness often </w:t>
      </w:r>
      <w:r w:rsidRPr="00722953">
        <w:rPr>
          <w:szCs w:val="22"/>
        </w:rPr>
        <w:t xml:space="preserve">result in damage </w:t>
      </w:r>
      <w:r>
        <w:rPr>
          <w:szCs w:val="22"/>
        </w:rPr>
        <w:t xml:space="preserve">not only </w:t>
      </w:r>
      <w:r w:rsidRPr="00722953">
        <w:rPr>
          <w:szCs w:val="22"/>
        </w:rPr>
        <w:t xml:space="preserve">to specific food businesses, </w:t>
      </w:r>
      <w:r>
        <w:rPr>
          <w:szCs w:val="22"/>
        </w:rPr>
        <w:t xml:space="preserve">but also </w:t>
      </w:r>
      <w:r w:rsidRPr="00722953">
        <w:rPr>
          <w:szCs w:val="22"/>
        </w:rPr>
        <w:t xml:space="preserve">related food businesses and whole industries. Lost productivity, impacts on lifestyle and medical expenses from foodborne illness can </w:t>
      </w:r>
      <w:r>
        <w:rPr>
          <w:szCs w:val="22"/>
        </w:rPr>
        <w:t xml:space="preserve">also </w:t>
      </w:r>
      <w:r w:rsidRPr="00722953">
        <w:rPr>
          <w:szCs w:val="22"/>
        </w:rPr>
        <w:t xml:space="preserve">result in a substantial burden for Australia. </w:t>
      </w:r>
      <w:r>
        <w:rPr>
          <w:szCs w:val="22"/>
        </w:rPr>
        <w:t xml:space="preserve">Costs associated with foodborne illness are estimated at $1.2 billion each year </w:t>
      </w:r>
      <w:r>
        <w:rPr>
          <w:szCs w:val="22"/>
        </w:rPr>
        <w:fldChar w:fldCharType="begin"/>
      </w:r>
      <w:r>
        <w:rPr>
          <w:szCs w:val="22"/>
        </w:rPr>
        <w:instrText>ADDIN CITAVI.PLACEHOLDER 6212e701-e8f1-465e-ba44-5ea26f527ea6 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JlbHNvbiBldCBhbC4gMjAwNik8L1RleHQ+DQogICAgPC9UZXh0VW5pdD4NCiAgPC9UZXh0VW5pdHM+DQo8L1BsYWNlaG9sZGVyPg==</w:instrText>
      </w:r>
      <w:r>
        <w:rPr>
          <w:szCs w:val="22"/>
        </w:rPr>
        <w:fldChar w:fldCharType="separate"/>
      </w:r>
      <w:r>
        <w:rPr>
          <w:szCs w:val="22"/>
        </w:rPr>
        <w:t>(Abelson et al. 2006)</w:t>
      </w:r>
      <w:r>
        <w:rPr>
          <w:szCs w:val="22"/>
        </w:rPr>
        <w:fldChar w:fldCharType="end"/>
      </w:r>
      <w:r>
        <w:rPr>
          <w:szCs w:val="22"/>
        </w:rPr>
        <w:t>.</w:t>
      </w:r>
    </w:p>
    <w:p w14:paraId="1AA33DD4" w14:textId="77777777" w:rsidR="00610B99" w:rsidRDefault="00610B99" w:rsidP="00610B99">
      <w:pPr>
        <w:widowControl/>
        <w:autoSpaceDE w:val="0"/>
        <w:autoSpaceDN w:val="0"/>
        <w:adjustRightInd w:val="0"/>
        <w:rPr>
          <w:rFonts w:cs="Arial"/>
          <w:szCs w:val="20"/>
        </w:rPr>
      </w:pPr>
    </w:p>
    <w:p w14:paraId="0387A4CB" w14:textId="551693DC" w:rsidR="00610B99" w:rsidRDefault="00610B99" w:rsidP="00610B99">
      <w:pPr>
        <w:widowControl/>
        <w:autoSpaceDE w:val="0"/>
        <w:autoSpaceDN w:val="0"/>
        <w:adjustRightInd w:val="0"/>
        <w:rPr>
          <w:rFonts w:cs="Arial"/>
        </w:rPr>
      </w:pPr>
      <w:r w:rsidRPr="00AD0C37">
        <w:rPr>
          <w:rFonts w:cs="Arial"/>
        </w:rPr>
        <w:t>In April 2017</w:t>
      </w:r>
      <w:r>
        <w:rPr>
          <w:rFonts w:cs="Arial"/>
        </w:rPr>
        <w:t>,</w:t>
      </w:r>
      <w:r w:rsidRPr="00AD0C37">
        <w:rPr>
          <w:rFonts w:cs="Arial"/>
        </w:rPr>
        <w:t xml:space="preserve"> the Australia and New Zealand Ministerial Forum on Food Regulation (the Forum)</w:t>
      </w:r>
      <w:r>
        <w:rPr>
          <w:rFonts w:cs="Arial"/>
        </w:rPr>
        <w:t xml:space="preserve"> </w:t>
      </w:r>
      <w:r w:rsidRPr="00AD0C37">
        <w:rPr>
          <w:rFonts w:cs="Arial"/>
        </w:rPr>
        <w:t xml:space="preserve">identified </w:t>
      </w:r>
      <w:r w:rsidR="00BE032C">
        <w:rPr>
          <w:rFonts w:cs="Arial"/>
        </w:rPr>
        <w:t xml:space="preserve">reduction of foodborne illness, </w:t>
      </w:r>
      <w:r w:rsidRPr="00AD0C37">
        <w:rPr>
          <w:rFonts w:cs="Arial"/>
        </w:rPr>
        <w:t xml:space="preserve">particularly related to </w:t>
      </w:r>
      <w:r w:rsidRPr="007908AC">
        <w:rPr>
          <w:rFonts w:cs="Arial"/>
          <w:i/>
        </w:rPr>
        <w:t>Campylobacter</w:t>
      </w:r>
      <w:r w:rsidRPr="00AD0C37">
        <w:rPr>
          <w:rFonts w:cs="Arial"/>
        </w:rPr>
        <w:t xml:space="preserve"> and </w:t>
      </w:r>
      <w:r w:rsidRPr="007908AC">
        <w:rPr>
          <w:rFonts w:cs="Arial"/>
          <w:i/>
        </w:rPr>
        <w:t>Salmonella</w:t>
      </w:r>
      <w:r w:rsidRPr="00AD0C37">
        <w:rPr>
          <w:rFonts w:cs="Arial"/>
        </w:rPr>
        <w:t>,</w:t>
      </w:r>
      <w:r>
        <w:rPr>
          <w:rFonts w:cs="Arial"/>
        </w:rPr>
        <w:t xml:space="preserve"> </w:t>
      </w:r>
      <w:r w:rsidR="00BE032C">
        <w:rPr>
          <w:rFonts w:cs="Arial"/>
        </w:rPr>
        <w:t>as one of its priorities. The</w:t>
      </w:r>
      <w:r>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AD0C37">
        <w:rPr>
          <w:rFonts w:cs="Arial"/>
        </w:rPr>
        <w:t xml:space="preserve"> </w:t>
      </w:r>
      <w:r w:rsidR="00BE032C">
        <w:rPr>
          <w:rFonts w:cs="Arial"/>
        </w:rPr>
        <w:t xml:space="preserve">was developed </w:t>
      </w:r>
      <w:r>
        <w:rPr>
          <w:rFonts w:cs="Arial"/>
        </w:rPr>
        <w:t>and</w:t>
      </w:r>
      <w:r w:rsidRPr="009C7103">
        <w:rPr>
          <w:rFonts w:cs="Arial"/>
        </w:rPr>
        <w:t xml:space="preserve"> includ</w:t>
      </w:r>
      <w:r w:rsidR="00BE032C">
        <w:rPr>
          <w:rFonts w:cs="Arial"/>
        </w:rPr>
        <w:t>es</w:t>
      </w:r>
      <w:r w:rsidRPr="009C7103">
        <w:rPr>
          <w:rFonts w:cs="Arial"/>
        </w:rPr>
        <w:t xml:space="preserve"> food safety management in the horticulture </w:t>
      </w:r>
      <w:r>
        <w:rPr>
          <w:rFonts w:cs="Arial"/>
        </w:rPr>
        <w:t>sector</w:t>
      </w:r>
      <w:r w:rsidRPr="009C7103">
        <w:rPr>
          <w:rFonts w:cs="Arial"/>
        </w:rPr>
        <w:t xml:space="preserve"> a</w:t>
      </w:r>
      <w:r>
        <w:rPr>
          <w:rFonts w:cs="Arial"/>
        </w:rPr>
        <w:t>s a</w:t>
      </w:r>
      <w:r w:rsidRPr="009C7103">
        <w:rPr>
          <w:rFonts w:cs="Arial"/>
        </w:rPr>
        <w:t xml:space="preserve"> priority focus area.</w:t>
      </w:r>
    </w:p>
    <w:p w14:paraId="05C9AAC2" w14:textId="77777777" w:rsidR="00610B99" w:rsidRDefault="00610B99" w:rsidP="00610B99">
      <w:pPr>
        <w:tabs>
          <w:tab w:val="left" w:pos="1134"/>
        </w:tabs>
        <w:rPr>
          <w:rFonts w:cs="Arial"/>
          <w:szCs w:val="20"/>
        </w:rPr>
      </w:pPr>
    </w:p>
    <w:p w14:paraId="4D27FC6F" w14:textId="54AF45F1" w:rsidR="00BE032C" w:rsidRDefault="00BE032C" w:rsidP="00BE032C">
      <w:pPr>
        <w:widowControl/>
        <w:autoSpaceDE w:val="0"/>
        <w:autoSpaceDN w:val="0"/>
        <w:adjustRightInd w:val="0"/>
        <w:rPr>
          <w:rFonts w:cs="Arial"/>
          <w:szCs w:val="22"/>
          <w:lang w:eastAsia="en-GB" w:bidi="ar-SA"/>
        </w:rPr>
      </w:pPr>
      <w:r>
        <w:t xml:space="preserve">FSANZ examined food safety management in the horticulture sector </w:t>
      </w:r>
      <w:r w:rsidR="00CE7C0C">
        <w:t xml:space="preserve">in 2011 </w:t>
      </w:r>
      <w:r>
        <w:t>under Proposal P1015 – PPP Standard for Horticulture</w:t>
      </w:r>
      <w:r>
        <w:rPr>
          <w:rStyle w:val="FootnoteReference"/>
        </w:rPr>
        <w:footnoteReference w:id="3"/>
      </w:r>
      <w:r>
        <w:t xml:space="preserve"> (P1015). Following consultation, FSANZ decided </w:t>
      </w:r>
      <w:r w:rsidR="00CE7C0C">
        <w:t>in 201</w:t>
      </w:r>
      <w:r w:rsidR="00793AA8">
        <w:t>4</w:t>
      </w:r>
      <w:r w:rsidR="00CE7C0C">
        <w:t xml:space="preserve"> </w:t>
      </w:r>
      <w:r>
        <w:t xml:space="preserve">that </w:t>
      </w:r>
      <w:r w:rsidR="00CE7C0C">
        <w:t>amendment of the Code was not warranted at that time</w:t>
      </w:r>
      <w:r w:rsidR="009C6ABC">
        <w:t>,</w:t>
      </w:r>
      <w:r w:rsidR="00CE7C0C">
        <w:t xml:space="preserve"> </w:t>
      </w:r>
      <w:r w:rsidR="009C6ABC">
        <w:t>with the</w:t>
      </w:r>
      <w:r w:rsidR="00CE7C0C">
        <w:t xml:space="preserve"> </w:t>
      </w:r>
      <w:r>
        <w:t xml:space="preserve">preferred strategy </w:t>
      </w:r>
      <w:r w:rsidR="009C6ABC">
        <w:t xml:space="preserve">being the development by industry and </w:t>
      </w:r>
      <w:r w:rsidR="00793AA8">
        <w:t>s</w:t>
      </w:r>
      <w:r w:rsidR="009C6ABC">
        <w:t xml:space="preserve">tate and </w:t>
      </w:r>
      <w:r w:rsidR="00793AA8">
        <w:t>t</w:t>
      </w:r>
      <w:r w:rsidR="009C6ABC">
        <w:t xml:space="preserve">erritory </w:t>
      </w:r>
      <w:r w:rsidR="00793AA8">
        <w:t>g</w:t>
      </w:r>
      <w:r w:rsidR="009C6ABC">
        <w:t xml:space="preserve">overnments of a strategy for maximising food safety </w:t>
      </w:r>
      <w:r>
        <w:t>in horticultural produce</w:t>
      </w:r>
      <w:r w:rsidR="009C6ABC">
        <w:t xml:space="preserve"> (e</w:t>
      </w:r>
      <w:r w:rsidR="00793AA8">
        <w:t>.</w:t>
      </w:r>
      <w:r w:rsidR="009C6ABC">
        <w:t>g</w:t>
      </w:r>
      <w:r w:rsidR="00793AA8">
        <w:t>.</w:t>
      </w:r>
      <w:r w:rsidR="009C6ABC">
        <w:t xml:space="preserve"> via guides, codes of practice, education and training)</w:t>
      </w:r>
      <w:r w:rsidR="00793AA8">
        <w:t xml:space="preserve"> (s</w:t>
      </w:r>
      <w:r w:rsidR="007F772C">
        <w:t>ee section 2.1</w:t>
      </w:r>
      <w:r w:rsidR="00793AA8">
        <w:t>)</w:t>
      </w:r>
      <w:r w:rsidR="007F772C">
        <w:t>.</w:t>
      </w:r>
    </w:p>
    <w:p w14:paraId="2AD29FDE" w14:textId="77777777" w:rsidR="00BE032C" w:rsidRDefault="00BE032C" w:rsidP="00610B99">
      <w:pPr>
        <w:tabs>
          <w:tab w:val="left" w:pos="1134"/>
        </w:tabs>
      </w:pPr>
    </w:p>
    <w:p w14:paraId="5A092588" w14:textId="1D395743" w:rsidR="003827D6" w:rsidRDefault="007C35A7" w:rsidP="00610B99">
      <w:pPr>
        <w:tabs>
          <w:tab w:val="left" w:pos="1134"/>
        </w:tabs>
        <w:rPr>
          <w:lang w:val="en-AU"/>
        </w:rPr>
      </w:pPr>
      <w:r>
        <w:t>Between 2011 and 2019</w:t>
      </w:r>
      <w:r w:rsidR="00C03231">
        <w:t>,</w:t>
      </w:r>
      <w:r w:rsidR="00D853F9">
        <w:t xml:space="preserve"> there were</w:t>
      </w:r>
      <w:r w:rsidR="008315AF">
        <w:t xml:space="preserve"> several</w:t>
      </w:r>
      <w:r w:rsidR="0058367B">
        <w:t xml:space="preserve"> significant foodborne illness outbreaks</w:t>
      </w:r>
      <w:r w:rsidR="00D853F9">
        <w:t xml:space="preserve"> in Australia</w:t>
      </w:r>
      <w:r w:rsidR="0058367B">
        <w:t xml:space="preserve"> </w:t>
      </w:r>
      <w:r w:rsidR="00C0393D">
        <w:t>associated with</w:t>
      </w:r>
      <w:r w:rsidR="0058367B">
        <w:t xml:space="preserve"> fresh </w:t>
      </w:r>
      <w:r w:rsidR="0042362C">
        <w:t xml:space="preserve">horticultural </w:t>
      </w:r>
      <w:r>
        <w:t xml:space="preserve">produce </w:t>
      </w:r>
      <w:r w:rsidR="00C0393D">
        <w:t>involving</w:t>
      </w:r>
      <w:r>
        <w:t xml:space="preserve"> over 408 cases of illness and 9 deaths. Two rockmelon outbreaks </w:t>
      </w:r>
      <w:r w:rsidR="00120BDA">
        <w:t>in 2016 and 2018 respectively, were</w:t>
      </w:r>
      <w:r>
        <w:t xml:space="preserve"> responsible for 166 </w:t>
      </w:r>
      <w:r w:rsidR="008872C2">
        <w:t>illnesses</w:t>
      </w:r>
      <w:r w:rsidR="00D853F9">
        <w:t xml:space="preserve"> and</w:t>
      </w:r>
      <w:r>
        <w:t xml:space="preserve"> 8 deaths.</w:t>
      </w:r>
      <w:r w:rsidR="00120BDA">
        <w:t xml:space="preserve"> </w:t>
      </w:r>
      <w:r w:rsidR="0058367B">
        <w:t>The impact of outbreaks can be significant</w:t>
      </w:r>
      <w:r w:rsidR="00120BDA">
        <w:t xml:space="preserve"> both in terms of </w:t>
      </w:r>
      <w:r w:rsidR="008872C2">
        <w:t>health (illness and/or death)</w:t>
      </w:r>
      <w:r w:rsidR="00120BDA">
        <w:t xml:space="preserve"> and costs to the industry</w:t>
      </w:r>
      <w:r w:rsidR="0058367B">
        <w:t xml:space="preserve">. For example, the 2018 outbreak of </w:t>
      </w:r>
      <w:r w:rsidR="0058367B" w:rsidRPr="005150BD">
        <w:rPr>
          <w:i/>
        </w:rPr>
        <w:t>Listeria</w:t>
      </w:r>
      <w:r w:rsidR="0058367B">
        <w:t xml:space="preserve"> associated with rockmelons</w:t>
      </w:r>
      <w:r w:rsidR="0042362C">
        <w:t xml:space="preserve"> </w:t>
      </w:r>
      <w:r w:rsidR="0058367B">
        <w:t>resulted in 22 cases</w:t>
      </w:r>
      <w:r w:rsidR="008872C2">
        <w:t xml:space="preserve"> of illness, 8</w:t>
      </w:r>
      <w:r w:rsidR="0058367B">
        <w:t xml:space="preserve"> deaths</w:t>
      </w:r>
      <w:r w:rsidR="008872C2">
        <w:t>,</w:t>
      </w:r>
      <w:r w:rsidR="00120BDA">
        <w:t xml:space="preserve"> </w:t>
      </w:r>
      <w:r w:rsidR="0058367B">
        <w:t xml:space="preserve">temporarily closed an export market and impacted the domestic market with losses to growers estimated to be </w:t>
      </w:r>
      <w:r w:rsidR="00120BDA">
        <w:t xml:space="preserve">around </w:t>
      </w:r>
      <w:r w:rsidR="0058367B">
        <w:t>$15 million</w:t>
      </w:r>
      <w:r w:rsidR="0042362C">
        <w:t xml:space="preserve">. </w:t>
      </w:r>
    </w:p>
    <w:p w14:paraId="015EB753" w14:textId="01E7761E" w:rsidR="003827D6" w:rsidRDefault="003827D6" w:rsidP="00610B99">
      <w:pPr>
        <w:tabs>
          <w:tab w:val="left" w:pos="1134"/>
        </w:tabs>
        <w:rPr>
          <w:lang w:val="en-AU"/>
        </w:rPr>
      </w:pPr>
    </w:p>
    <w:p w14:paraId="277F7319" w14:textId="368CEC07" w:rsidR="004864BB" w:rsidRDefault="008872C2" w:rsidP="004864BB">
      <w:pPr>
        <w:tabs>
          <w:tab w:val="left" w:pos="1134"/>
        </w:tabs>
        <w:rPr>
          <w:rFonts w:cs="Arial"/>
        </w:rPr>
      </w:pPr>
      <w:r>
        <w:rPr>
          <w:rFonts w:cs="Arial"/>
        </w:rPr>
        <w:t>I</w:t>
      </w:r>
      <w:r w:rsidR="004864BB" w:rsidRPr="009A6AB1">
        <w:rPr>
          <w:rFonts w:cs="Arial"/>
        </w:rPr>
        <w:t xml:space="preserve">nvestigations into </w:t>
      </w:r>
      <w:r w:rsidR="004864BB">
        <w:rPr>
          <w:rFonts w:cs="Arial"/>
        </w:rPr>
        <w:t xml:space="preserve">recent </w:t>
      </w:r>
      <w:r w:rsidR="004864BB" w:rsidRPr="009A6AB1">
        <w:rPr>
          <w:rFonts w:cs="Arial"/>
        </w:rPr>
        <w:t>outbreaks indicate</w:t>
      </w:r>
      <w:r w:rsidR="004864BB">
        <w:rPr>
          <w:rFonts w:cs="Arial"/>
        </w:rPr>
        <w:t>d</w:t>
      </w:r>
      <w:r w:rsidR="004864BB" w:rsidRPr="009A6AB1">
        <w:rPr>
          <w:rFonts w:cs="Arial"/>
        </w:rPr>
        <w:t xml:space="preserve"> </w:t>
      </w:r>
      <w:r w:rsidR="004864BB">
        <w:rPr>
          <w:rFonts w:cs="Arial"/>
        </w:rPr>
        <w:t xml:space="preserve">key contributing factors, including: </w:t>
      </w:r>
    </w:p>
    <w:p w14:paraId="5F6F4A31" w14:textId="77777777" w:rsidR="004864BB" w:rsidRPr="005F278D" w:rsidRDefault="004864BB" w:rsidP="00443C43">
      <w:pPr>
        <w:pStyle w:val="ListParagraph"/>
        <w:keepNext/>
        <w:keepLines/>
        <w:numPr>
          <w:ilvl w:val="0"/>
          <w:numId w:val="15"/>
        </w:numPr>
        <w:tabs>
          <w:tab w:val="left" w:pos="1134"/>
        </w:tabs>
        <w:ind w:left="714" w:hanging="357"/>
        <w:rPr>
          <w:lang w:val="en-AU"/>
        </w:rPr>
      </w:pPr>
      <w:r w:rsidRPr="005F278D">
        <w:rPr>
          <w:rFonts w:cs="Arial"/>
        </w:rPr>
        <w:lastRenderedPageBreak/>
        <w:t>envir</w:t>
      </w:r>
      <w:r>
        <w:rPr>
          <w:rFonts w:cs="Arial"/>
        </w:rPr>
        <w:t>onmental issues (rain/flooding)</w:t>
      </w:r>
      <w:r w:rsidRPr="005F278D">
        <w:rPr>
          <w:rFonts w:cs="Arial"/>
        </w:rPr>
        <w:t xml:space="preserve"> </w:t>
      </w:r>
    </w:p>
    <w:p w14:paraId="4B7E17E9" w14:textId="77777777" w:rsidR="004864BB" w:rsidRPr="005F278D" w:rsidRDefault="004864BB" w:rsidP="00443C43">
      <w:pPr>
        <w:pStyle w:val="ListParagraph"/>
        <w:keepNext/>
        <w:keepLines/>
        <w:numPr>
          <w:ilvl w:val="0"/>
          <w:numId w:val="15"/>
        </w:numPr>
        <w:tabs>
          <w:tab w:val="left" w:pos="1134"/>
        </w:tabs>
        <w:ind w:left="714" w:hanging="357"/>
        <w:rPr>
          <w:lang w:val="en-AU"/>
        </w:rPr>
      </w:pPr>
      <w:r w:rsidRPr="005F278D">
        <w:rPr>
          <w:rFonts w:cs="Arial"/>
        </w:rPr>
        <w:t xml:space="preserve">inadequate cleaning and sanitation of equipment and facilities </w:t>
      </w:r>
    </w:p>
    <w:p w14:paraId="3F6824E1" w14:textId="77777777" w:rsidR="004864BB" w:rsidRPr="005F278D" w:rsidRDefault="004864BB" w:rsidP="00443C43">
      <w:pPr>
        <w:pStyle w:val="ListParagraph"/>
        <w:numPr>
          <w:ilvl w:val="0"/>
          <w:numId w:val="15"/>
        </w:numPr>
        <w:tabs>
          <w:tab w:val="left" w:pos="1134"/>
        </w:tabs>
        <w:rPr>
          <w:lang w:val="en-AU"/>
        </w:rPr>
      </w:pPr>
      <w:r w:rsidRPr="005F278D">
        <w:rPr>
          <w:rFonts w:cs="Arial"/>
        </w:rPr>
        <w:t xml:space="preserve">lack of skills and knowledge of operators, particularly in relation to changing hazards (e.g. scaling up operations, new higher-risk products) </w:t>
      </w:r>
    </w:p>
    <w:p w14:paraId="019C1C27" w14:textId="77777777" w:rsidR="004864BB" w:rsidRPr="00000888" w:rsidRDefault="004864BB" w:rsidP="00000888">
      <w:pPr>
        <w:pStyle w:val="ListParagraph"/>
        <w:rPr>
          <w:snapToGrid w:val="0"/>
          <w:szCs w:val="22"/>
        </w:rPr>
      </w:pPr>
    </w:p>
    <w:p w14:paraId="0CC62B73" w14:textId="662BAE35" w:rsidR="004864BB" w:rsidRPr="00000888" w:rsidRDefault="009C6ABC" w:rsidP="00000888">
      <w:pPr>
        <w:tabs>
          <w:tab w:val="left" w:pos="1134"/>
        </w:tabs>
      </w:pPr>
      <w:r>
        <w:t>FSANZ’s decision in 201</w:t>
      </w:r>
      <w:r w:rsidR="00793AA8">
        <w:t>4</w:t>
      </w:r>
      <w:r>
        <w:t xml:space="preserve"> to not amend the Code at that time was based in part on the fact that an </w:t>
      </w:r>
      <w:r w:rsidR="004864BB">
        <w:t xml:space="preserve">estimated 70-80% of </w:t>
      </w:r>
      <w:r w:rsidR="008872C2">
        <w:t xml:space="preserve">Australian </w:t>
      </w:r>
      <w:r w:rsidR="004864BB">
        <w:t xml:space="preserve">horticultural produce was grown under a food safety scheme. </w:t>
      </w:r>
      <w:r w:rsidR="00120BDA">
        <w:t>I</w:t>
      </w:r>
      <w:r w:rsidR="004864BB" w:rsidRPr="00000888">
        <w:t xml:space="preserve">nvestigations into some of the more recent outbreaks </w:t>
      </w:r>
      <w:r w:rsidR="009422D2">
        <w:t>show</w:t>
      </w:r>
      <w:r w:rsidR="004864BB" w:rsidRPr="00000888">
        <w:t xml:space="preserve"> </w:t>
      </w:r>
      <w:r w:rsidR="004864BB">
        <w:t xml:space="preserve">businesses had </w:t>
      </w:r>
      <w:r w:rsidR="004864BB" w:rsidRPr="00000888">
        <w:t xml:space="preserve">food safety schemes in place, but </w:t>
      </w:r>
      <w:r w:rsidR="00120BDA">
        <w:t>had not been</w:t>
      </w:r>
      <w:r w:rsidR="004864BB" w:rsidRPr="00000888">
        <w:t xml:space="preserve"> effective </w:t>
      </w:r>
      <w:r w:rsidR="004864BB">
        <w:t>in</w:t>
      </w:r>
      <w:r w:rsidR="004864BB" w:rsidRPr="004864BB">
        <w:t xml:space="preserve"> avoid</w:t>
      </w:r>
      <w:r w:rsidR="004864BB">
        <w:t xml:space="preserve">ing </w:t>
      </w:r>
      <w:r w:rsidR="004864BB" w:rsidRPr="00000888">
        <w:t xml:space="preserve">an outbreak. This suggests that the level of assurance provided by such schemes </w:t>
      </w:r>
      <w:r w:rsidR="00BC4993">
        <w:t>may</w:t>
      </w:r>
      <w:r w:rsidR="004864BB" w:rsidRPr="00000888">
        <w:t xml:space="preserve"> </w:t>
      </w:r>
      <w:r w:rsidR="00793AA8">
        <w:t>alone be insufficient to address food safety risks and to protect public health and safety.</w:t>
      </w:r>
      <w:r w:rsidR="004864BB" w:rsidRPr="00000888">
        <w:t xml:space="preserve"> </w:t>
      </w:r>
    </w:p>
    <w:p w14:paraId="240C6AE3" w14:textId="7E9A6032" w:rsidR="004864BB" w:rsidRDefault="004864BB" w:rsidP="0042362C">
      <w:pPr>
        <w:tabs>
          <w:tab w:val="left" w:pos="1134"/>
        </w:tabs>
      </w:pPr>
    </w:p>
    <w:p w14:paraId="3EFE6811" w14:textId="0CC239FB" w:rsidR="009543DC" w:rsidRDefault="009543DC" w:rsidP="009543DC">
      <w:r>
        <w:t>Horticulture sector supply chains are complex, and in</w:t>
      </w:r>
      <w:r w:rsidR="008872C2">
        <w:t xml:space="preserve"> many</w:t>
      </w:r>
      <w:r>
        <w:t xml:space="preserve"> cases, not well documented. Good product traceability throughout the supply chain is central to the speed and scope of the response to food safety incidents, including:</w:t>
      </w:r>
    </w:p>
    <w:p w14:paraId="40EB3223" w14:textId="77777777" w:rsidR="009543DC" w:rsidRDefault="009543DC" w:rsidP="00443C43">
      <w:pPr>
        <w:pStyle w:val="ListParagraph"/>
        <w:widowControl/>
        <w:numPr>
          <w:ilvl w:val="0"/>
          <w:numId w:val="18"/>
        </w:numPr>
      </w:pPr>
      <w:r>
        <w:t>early withdrawal of product from marketplace</w:t>
      </w:r>
    </w:p>
    <w:p w14:paraId="19EF3A04" w14:textId="242D779E" w:rsidR="009543DC" w:rsidRDefault="009543DC" w:rsidP="00443C43">
      <w:pPr>
        <w:pStyle w:val="ListParagraph"/>
        <w:widowControl/>
        <w:numPr>
          <w:ilvl w:val="0"/>
          <w:numId w:val="18"/>
        </w:numPr>
      </w:pPr>
      <w:r>
        <w:t>limiting impact of an incident and/or illness</w:t>
      </w:r>
      <w:r w:rsidR="009417FA">
        <w:t>, and</w:t>
      </w:r>
    </w:p>
    <w:p w14:paraId="09916201" w14:textId="77777777" w:rsidR="009543DC" w:rsidRDefault="009543DC" w:rsidP="00443C43">
      <w:pPr>
        <w:pStyle w:val="ListParagraph"/>
        <w:widowControl/>
        <w:numPr>
          <w:ilvl w:val="0"/>
          <w:numId w:val="18"/>
        </w:numPr>
      </w:pPr>
      <w:r>
        <w:t>limiting reputational and financial costs to industry.</w:t>
      </w:r>
    </w:p>
    <w:p w14:paraId="3477EAA7" w14:textId="54887B6A" w:rsidR="0042362C" w:rsidRDefault="0042362C" w:rsidP="0042362C">
      <w:pPr>
        <w:tabs>
          <w:tab w:val="left" w:pos="1134"/>
        </w:tabs>
      </w:pPr>
      <w:r>
        <w:t>Failure to prevent food safety problems and the complexity of supply chains (impacting traceability) means further regulation now need</w:t>
      </w:r>
      <w:r w:rsidR="00CA2343">
        <w:t>s</w:t>
      </w:r>
      <w:r>
        <w:t xml:space="preserve"> to be considered, particularly for higher risk horticultural products.</w:t>
      </w:r>
    </w:p>
    <w:p w14:paraId="1D3661BF" w14:textId="77777777" w:rsidR="0042362C" w:rsidRDefault="0042362C" w:rsidP="0042362C">
      <w:pPr>
        <w:tabs>
          <w:tab w:val="left" w:pos="1134"/>
        </w:tabs>
      </w:pPr>
    </w:p>
    <w:p w14:paraId="1EF4BDBD" w14:textId="4C7F07FF" w:rsidR="00610B99" w:rsidRDefault="00610B99" w:rsidP="00610B99">
      <w:pPr>
        <w:widowControl/>
        <w:autoSpaceDE w:val="0"/>
        <w:autoSpaceDN w:val="0"/>
        <w:adjustRightInd w:val="0"/>
        <w:rPr>
          <w:rFonts w:cs="Arial"/>
          <w:szCs w:val="20"/>
        </w:rPr>
      </w:pPr>
      <w:r>
        <w:rPr>
          <w:rFonts w:cs="Arial"/>
        </w:rPr>
        <w:t xml:space="preserve">The ongoing issues and lack of </w:t>
      </w:r>
      <w:r w:rsidR="00376427">
        <w:rPr>
          <w:rFonts w:cs="Arial"/>
        </w:rPr>
        <w:t xml:space="preserve">consistent and uniform </w:t>
      </w:r>
      <w:r>
        <w:rPr>
          <w:rFonts w:cs="Arial"/>
        </w:rPr>
        <w:t xml:space="preserve">regulatory measures </w:t>
      </w:r>
      <w:r w:rsidR="00120BDA">
        <w:rPr>
          <w:rFonts w:cs="Arial"/>
        </w:rPr>
        <w:t>(</w:t>
      </w:r>
      <w:r w:rsidR="008872C2">
        <w:rPr>
          <w:rFonts w:cs="Arial"/>
        </w:rPr>
        <w:t>see</w:t>
      </w:r>
      <w:r w:rsidR="00120BDA">
        <w:rPr>
          <w:rFonts w:cs="Arial"/>
        </w:rPr>
        <w:t xml:space="preserve"> below) </w:t>
      </w:r>
      <w:r>
        <w:rPr>
          <w:rFonts w:cs="Arial"/>
        </w:rPr>
        <w:t xml:space="preserve">for horticultural products prompted ministers to request FSANZ </w:t>
      </w:r>
      <w:r w:rsidR="00FB13D6">
        <w:rPr>
          <w:rFonts w:cs="Arial"/>
        </w:rPr>
        <w:t xml:space="preserve">to </w:t>
      </w:r>
      <w:r>
        <w:rPr>
          <w:rFonts w:cs="Arial"/>
        </w:rPr>
        <w:t xml:space="preserve">reconsider food safety measures for </w:t>
      </w:r>
      <w:r w:rsidRPr="00816F8C">
        <w:t xml:space="preserve">high-risk </w:t>
      </w:r>
      <w:r w:rsidR="008872C2">
        <w:t>horticulture</w:t>
      </w:r>
      <w:r>
        <w:t>.</w:t>
      </w:r>
      <w:r w:rsidDel="007F3479">
        <w:t xml:space="preserve"> </w:t>
      </w:r>
      <w:r>
        <w:t>Ministers a</w:t>
      </w:r>
      <w:r>
        <w:rPr>
          <w:noProof/>
        </w:rPr>
        <w:t>lso recommended FSANZ consider food safety culture</w:t>
      </w:r>
      <w:r>
        <w:rPr>
          <w:rStyle w:val="FootnoteReference"/>
          <w:noProof/>
        </w:rPr>
        <w:footnoteReference w:id="4"/>
      </w:r>
      <w:r>
        <w:rPr>
          <w:noProof/>
        </w:rPr>
        <w:t xml:space="preserve"> as a means to encourage behaviour change in the sectors. </w:t>
      </w:r>
    </w:p>
    <w:p w14:paraId="1A5BE584" w14:textId="4CE00499" w:rsidR="00DE79D9" w:rsidRDefault="00FB1458" w:rsidP="00DE79D9">
      <w:pPr>
        <w:pStyle w:val="Heading2"/>
      </w:pPr>
      <w:bookmarkStart w:id="25" w:name="_Toc27667534"/>
      <w:bookmarkStart w:id="26" w:name="_Toc28953751"/>
      <w:bookmarkStart w:id="27" w:name="_Toc29288645"/>
      <w:bookmarkStart w:id="28" w:name="_Toc29998524"/>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7"/>
      <w:bookmarkEnd w:id="8"/>
      <w:bookmarkEnd w:id="9"/>
      <w:bookmarkEnd w:id="10"/>
      <w:bookmarkEnd w:id="11"/>
      <w:r>
        <w:t>1</w:t>
      </w:r>
      <w:r w:rsidR="008B6C00">
        <w:t>.3</w:t>
      </w:r>
      <w:r w:rsidR="00DE79D9">
        <w:tab/>
        <w:t>Procedure for assessment</w:t>
      </w:r>
      <w:bookmarkEnd w:id="25"/>
      <w:bookmarkEnd w:id="26"/>
      <w:bookmarkEnd w:id="27"/>
      <w:bookmarkEnd w:id="28"/>
    </w:p>
    <w:p w14:paraId="5280B665" w14:textId="0667DDB1" w:rsidR="00DE79D9" w:rsidRDefault="00B7011D" w:rsidP="00DE79D9">
      <w:r>
        <w:t>P</w:t>
      </w:r>
      <w:r w:rsidR="00DE79D9" w:rsidRPr="00F84B98">
        <w:t>roposal</w:t>
      </w:r>
      <w:r w:rsidR="00DE79D9" w:rsidRPr="00CA5734">
        <w:rPr>
          <w:color w:val="FF0000"/>
        </w:rPr>
        <w:t xml:space="preserve"> </w:t>
      </w:r>
      <w:r w:rsidRPr="00B7011D">
        <w:t xml:space="preserve">P1052 </w:t>
      </w:r>
      <w:r w:rsidR="00DE79D9">
        <w:t xml:space="preserve">is being </w:t>
      </w:r>
      <w:r w:rsidR="00DE79D9" w:rsidRPr="00932F14">
        <w:t xml:space="preserve">assessed under </w:t>
      </w:r>
      <w:r w:rsidR="00CB4E4C">
        <w:t>FSANZ’s</w:t>
      </w:r>
      <w:r w:rsidR="00DE79D9" w:rsidRPr="00F84B98">
        <w:t xml:space="preserve"> Major </w:t>
      </w:r>
      <w:r w:rsidR="00DE79D9">
        <w:t>P</w:t>
      </w:r>
      <w:r w:rsidR="00DE79D9" w:rsidRPr="00932F14">
        <w:t>rocedure</w:t>
      </w:r>
      <w:r w:rsidR="00CB4E4C">
        <w:t xml:space="preserve"> </w:t>
      </w:r>
      <w:r w:rsidR="00F04CF9">
        <w:t xml:space="preserve">requirements of the FSANZ Act, which require two rounds of public </w:t>
      </w:r>
      <w:r w:rsidR="006C5FB4">
        <w:t>consultation</w:t>
      </w:r>
      <w:r w:rsidR="00DE79D9" w:rsidRPr="00932F14">
        <w:t>.</w:t>
      </w:r>
      <w:r w:rsidR="00091124">
        <w:t xml:space="preserve"> </w:t>
      </w:r>
      <w:r w:rsidR="00F04CF9">
        <w:t>Any draft variation to the Code will be provided at the next round of consultation.</w:t>
      </w:r>
    </w:p>
    <w:p w14:paraId="09735590" w14:textId="0708C7BE" w:rsidR="000D586D" w:rsidRDefault="000D586D" w:rsidP="000D586D">
      <w:pPr>
        <w:pStyle w:val="Heading2"/>
      </w:pPr>
      <w:bookmarkStart w:id="36" w:name="_Toc27667535"/>
      <w:bookmarkStart w:id="37" w:name="_Toc28953752"/>
      <w:bookmarkStart w:id="38" w:name="_Toc29288646"/>
      <w:bookmarkStart w:id="39" w:name="_Toc29998525"/>
      <w:r>
        <w:lastRenderedPageBreak/>
        <w:t>1.</w:t>
      </w:r>
      <w:r w:rsidR="008B6C00">
        <w:t>4</w:t>
      </w:r>
      <w:r>
        <w:tab/>
      </w:r>
      <w:r w:rsidR="008B5DCF">
        <w:t>Scope</w:t>
      </w:r>
      <w:bookmarkEnd w:id="36"/>
      <w:bookmarkEnd w:id="37"/>
      <w:bookmarkEnd w:id="38"/>
      <w:bookmarkEnd w:id="39"/>
    </w:p>
    <w:p w14:paraId="6D1D713D" w14:textId="658CAEFE" w:rsidR="00ED1C81" w:rsidRPr="00ED1C81" w:rsidRDefault="00ED1C81" w:rsidP="00ED1C81">
      <w:pPr>
        <w:rPr>
          <w:lang w:bidi="ar-SA"/>
        </w:rPr>
      </w:pPr>
      <w:r>
        <w:rPr>
          <w:lang w:bidi="ar-SA"/>
        </w:rPr>
        <w:t>The scope of this proposal is described below, including commodities being addressed</w:t>
      </w:r>
      <w:r w:rsidR="00AA4C0A">
        <w:rPr>
          <w:lang w:bidi="ar-SA"/>
        </w:rPr>
        <w:t xml:space="preserve"> and the term ‘high risk’.</w:t>
      </w:r>
    </w:p>
    <w:p w14:paraId="4514D89C" w14:textId="1AE9F20A" w:rsidR="006D7256" w:rsidRPr="006D7256" w:rsidRDefault="006D7256" w:rsidP="00FF49ED">
      <w:pPr>
        <w:pStyle w:val="Heading3"/>
        <w:keepLines/>
      </w:pPr>
      <w:bookmarkStart w:id="40" w:name="_Toc28953753"/>
      <w:bookmarkStart w:id="41" w:name="_Toc29288647"/>
      <w:bookmarkStart w:id="42" w:name="_Toc29998526"/>
      <w:r w:rsidRPr="006D7256">
        <w:t>1.</w:t>
      </w:r>
      <w:r w:rsidR="008B6C00">
        <w:t>4</w:t>
      </w:r>
      <w:r w:rsidRPr="006D7256">
        <w:t>.1</w:t>
      </w:r>
      <w:r w:rsidRPr="006D7256">
        <w:tab/>
      </w:r>
      <w:r w:rsidR="00AA4C0A">
        <w:t>Included in scope</w:t>
      </w:r>
      <w:bookmarkEnd w:id="40"/>
      <w:bookmarkEnd w:id="41"/>
      <w:bookmarkEnd w:id="42"/>
    </w:p>
    <w:p w14:paraId="41716606" w14:textId="7C4391A7" w:rsidR="00996300" w:rsidRDefault="00F56EA5" w:rsidP="00996300">
      <w:pPr>
        <w:rPr>
          <w:szCs w:val="22"/>
        </w:rPr>
      </w:pPr>
      <w:r>
        <w:rPr>
          <w:szCs w:val="22"/>
        </w:rPr>
        <w:t>Mi</w:t>
      </w:r>
      <w:r w:rsidR="00996300">
        <w:rPr>
          <w:szCs w:val="22"/>
        </w:rPr>
        <w:t xml:space="preserve">nisters responsible for food regulation in Australia agreed </w:t>
      </w:r>
      <w:r>
        <w:rPr>
          <w:szCs w:val="22"/>
        </w:rPr>
        <w:t>on a</w:t>
      </w:r>
      <w:r w:rsidR="00996300">
        <w:rPr>
          <w:szCs w:val="22"/>
        </w:rPr>
        <w:t xml:space="preserve"> need to reassess food safety measures in five high-risk horticultural sectors. </w:t>
      </w:r>
      <w:r w:rsidR="00996300">
        <w:rPr>
          <w:rFonts w:cs="Arial"/>
          <w:lang w:bidi="ar-SA"/>
        </w:rPr>
        <w:t xml:space="preserve">These sectors are </w:t>
      </w:r>
      <w:r w:rsidR="006D698A">
        <w:rPr>
          <w:rFonts w:cs="Arial"/>
          <w:lang w:bidi="ar-SA"/>
        </w:rPr>
        <w:t>those with</w:t>
      </w:r>
      <w:r w:rsidR="00996300">
        <w:rPr>
          <w:rFonts w:cs="Arial"/>
          <w:lang w:bidi="ar-SA"/>
        </w:rPr>
        <w:t xml:space="preserve"> </w:t>
      </w:r>
      <w:r w:rsidR="00996300">
        <w:rPr>
          <w:szCs w:val="22"/>
        </w:rPr>
        <w:t>annex</w:t>
      </w:r>
      <w:r w:rsidR="00B456CE">
        <w:rPr>
          <w:szCs w:val="22"/>
        </w:rPr>
        <w:t>es</w:t>
      </w:r>
      <w:r w:rsidR="00996300">
        <w:rPr>
          <w:szCs w:val="22"/>
        </w:rPr>
        <w:t xml:space="preserve"> to the Codex Alimentarius Code of Hygienic Practice for Fresh Fruits and Vegetables (CoHP FFV). They are: ready-to-eat and minimally processed fruits and vegetables, fresh leafy green vegetables, melons, berries and seed sprouts. </w:t>
      </w:r>
    </w:p>
    <w:p w14:paraId="5E3C7010" w14:textId="77777777" w:rsidR="00F56EA5" w:rsidRDefault="00F56EA5" w:rsidP="00996300">
      <w:pPr>
        <w:rPr>
          <w:szCs w:val="22"/>
        </w:rPr>
      </w:pPr>
    </w:p>
    <w:p w14:paraId="2490F8B4" w14:textId="18631BA4" w:rsidR="00F56EA5" w:rsidRDefault="00F56EA5" w:rsidP="00F56EA5">
      <w:r>
        <w:t>Each of these commodity sectors contain a broad range of products</w:t>
      </w:r>
      <w:r w:rsidR="00B456CE">
        <w:t xml:space="preserve"> and</w:t>
      </w:r>
      <w:r>
        <w:t xml:space="preserve"> </w:t>
      </w:r>
      <w:r w:rsidRPr="00FA07D7">
        <w:t>an equally broad range of associated production activities</w:t>
      </w:r>
      <w:r>
        <w:t xml:space="preserve">. </w:t>
      </w:r>
      <w:r w:rsidR="00E977ED">
        <w:t>In our May 2019</w:t>
      </w:r>
      <w:r w:rsidR="00E977ED">
        <w:rPr>
          <w:rStyle w:val="FootnoteReference"/>
        </w:rPr>
        <w:footnoteReference w:id="5"/>
      </w:r>
      <w:r w:rsidR="00E977ED">
        <w:t xml:space="preserve"> </w:t>
      </w:r>
      <w:r w:rsidR="00CB4E4C">
        <w:t>information</w:t>
      </w:r>
      <w:r w:rsidR="00E977ED">
        <w:t xml:space="preserve"> paper, </w:t>
      </w:r>
      <w:r>
        <w:t xml:space="preserve">FSANZ flagged a possible </w:t>
      </w:r>
      <w:r w:rsidR="00B456CE">
        <w:t xml:space="preserve">risk-based </w:t>
      </w:r>
      <w:r>
        <w:t xml:space="preserve">reduction in scope </w:t>
      </w:r>
      <w:r w:rsidR="00B456CE">
        <w:t xml:space="preserve">to </w:t>
      </w:r>
      <w:r w:rsidR="00443891">
        <w:t xml:space="preserve">allow our analysis to </w:t>
      </w:r>
      <w:r w:rsidR="00B456CE">
        <w:t>progress in a timely way.</w:t>
      </w:r>
      <w:r>
        <w:t xml:space="preserve"> This</w:t>
      </w:r>
      <w:r w:rsidR="00591393">
        <w:t xml:space="preserve"> scope</w:t>
      </w:r>
      <w:r>
        <w:t xml:space="preserve"> reduction is </w:t>
      </w:r>
      <w:r w:rsidR="0086481E">
        <w:t>supported by</w:t>
      </w:r>
      <w:r w:rsidR="00AE04D2">
        <w:t xml:space="preserve"> stakeholder submissions,</w:t>
      </w:r>
      <w:r>
        <w:t xml:space="preserve"> preliminary risk assessment work</w:t>
      </w:r>
      <w:r w:rsidR="00AA4C0A">
        <w:t xml:space="preserve"> </w:t>
      </w:r>
      <w:r w:rsidR="00AE04D2">
        <w:t xml:space="preserve">(see section 3.1) </w:t>
      </w:r>
      <w:r w:rsidR="00AA4C0A">
        <w:t>and existing Code requirements</w:t>
      </w:r>
      <w:r w:rsidR="00AE04D2">
        <w:t xml:space="preserve"> (see section 4.1)</w:t>
      </w:r>
      <w:r>
        <w:t>.</w:t>
      </w:r>
    </w:p>
    <w:p w14:paraId="5F3C4FF5" w14:textId="77777777" w:rsidR="00F56EA5" w:rsidRDefault="00F56EA5" w:rsidP="00996300">
      <w:pPr>
        <w:rPr>
          <w:szCs w:val="22"/>
        </w:rPr>
      </w:pPr>
    </w:p>
    <w:p w14:paraId="661166B9" w14:textId="082A3AFA" w:rsidR="00F56EA5" w:rsidRDefault="00DE1173" w:rsidP="00F56EA5">
      <w:r>
        <w:t>Therefore, t</w:t>
      </w:r>
      <w:r w:rsidR="00F56EA5">
        <w:t xml:space="preserve">he scope of this proposal includes primary production and </w:t>
      </w:r>
      <w:r w:rsidR="006E32D7">
        <w:t xml:space="preserve">primary </w:t>
      </w:r>
      <w:r w:rsidR="00F56EA5">
        <w:t xml:space="preserve">processing </w:t>
      </w:r>
      <w:r w:rsidR="00B456CE">
        <w:t xml:space="preserve">activities </w:t>
      </w:r>
      <w:r w:rsidR="00F56EA5">
        <w:t>of:</w:t>
      </w:r>
    </w:p>
    <w:p w14:paraId="449EC6BC" w14:textId="3121BF94" w:rsidR="00F56EA5" w:rsidRDefault="00E977ED" w:rsidP="00443C43">
      <w:pPr>
        <w:pStyle w:val="ListParagraph"/>
        <w:widowControl/>
        <w:numPr>
          <w:ilvl w:val="0"/>
          <w:numId w:val="5"/>
        </w:numPr>
      </w:pPr>
      <w:r>
        <w:t>leafy vegetables</w:t>
      </w:r>
    </w:p>
    <w:p w14:paraId="1A3AF9FC" w14:textId="25F12A6F" w:rsidR="006D7256" w:rsidRDefault="006D7256" w:rsidP="00443C43">
      <w:pPr>
        <w:pStyle w:val="ListParagraph"/>
        <w:widowControl/>
        <w:numPr>
          <w:ilvl w:val="0"/>
          <w:numId w:val="5"/>
        </w:numPr>
      </w:pPr>
      <w:r>
        <w:t>melons</w:t>
      </w:r>
    </w:p>
    <w:p w14:paraId="6394EA4C" w14:textId="72F97FBF" w:rsidR="006D7256" w:rsidRDefault="006D7256" w:rsidP="00443C43">
      <w:pPr>
        <w:pStyle w:val="ListParagraph"/>
        <w:widowControl/>
        <w:numPr>
          <w:ilvl w:val="0"/>
          <w:numId w:val="5"/>
        </w:numPr>
      </w:pPr>
      <w:r>
        <w:t>berries.</w:t>
      </w:r>
    </w:p>
    <w:p w14:paraId="68A6C343" w14:textId="61461D62" w:rsidR="00AA4C0A" w:rsidRDefault="00AA4C0A" w:rsidP="00AA4C0A">
      <w:pPr>
        <w:widowControl/>
      </w:pPr>
    </w:p>
    <w:p w14:paraId="6A59A495" w14:textId="6F27D921" w:rsidR="00AA4C0A" w:rsidRDefault="00AA4C0A" w:rsidP="00AA4C0A">
      <w:r>
        <w:t>M</w:t>
      </w:r>
      <w:r w:rsidRPr="00BC2973">
        <w:t>icrobiological hazards</w:t>
      </w:r>
      <w:r>
        <w:t xml:space="preserve"> </w:t>
      </w:r>
      <w:r w:rsidR="009C6ABC">
        <w:t>have been</w:t>
      </w:r>
      <w:r w:rsidR="00AE04D2">
        <w:t>,</w:t>
      </w:r>
      <w:r w:rsidR="009C6ABC">
        <w:t xml:space="preserve"> and will</w:t>
      </w:r>
      <w:r w:rsidR="009C6ABC" w:rsidRPr="00BC2973">
        <w:t xml:space="preserve"> </w:t>
      </w:r>
      <w:r w:rsidRPr="00BC2973">
        <w:t>be</w:t>
      </w:r>
      <w:r w:rsidR="00AE04D2">
        <w:t>,</w:t>
      </w:r>
      <w:r w:rsidRPr="00BC2973">
        <w:t xml:space="preserve"> </w:t>
      </w:r>
      <w:r>
        <w:t xml:space="preserve">the </w:t>
      </w:r>
      <w:r w:rsidRPr="00BC2973">
        <w:t xml:space="preserve">main food safety hazards considered. Chemical hazards will </w:t>
      </w:r>
      <w:r w:rsidR="00032725">
        <w:t xml:space="preserve">be </w:t>
      </w:r>
      <w:r w:rsidRPr="00BC2973">
        <w:t xml:space="preserve">discussed but are generally </w:t>
      </w:r>
      <w:r>
        <w:t xml:space="preserve">considered </w:t>
      </w:r>
      <w:r w:rsidRPr="00BC2973">
        <w:t>very low</w:t>
      </w:r>
      <w:r>
        <w:t xml:space="preserve"> risk, and well managed,</w:t>
      </w:r>
      <w:r w:rsidRPr="00BC2973">
        <w:t xml:space="preserve"> in Australian food production</w:t>
      </w:r>
      <w:r>
        <w:t>.</w:t>
      </w:r>
    </w:p>
    <w:p w14:paraId="59E21B81" w14:textId="0E4D7026" w:rsidR="00AA4C0A" w:rsidRDefault="00AA4C0A" w:rsidP="00AA4C0A">
      <w:pPr>
        <w:widowControl/>
      </w:pPr>
    </w:p>
    <w:p w14:paraId="0E89CAE6" w14:textId="31D6383A" w:rsidR="00AA4C0A" w:rsidRDefault="00AA4C0A" w:rsidP="00AA4C0A">
      <w:r w:rsidRPr="00CC5BC0">
        <w:t xml:space="preserve">FSANZ </w:t>
      </w:r>
      <w:r w:rsidR="009C6ABC">
        <w:t>has and will</w:t>
      </w:r>
      <w:r w:rsidR="009C6ABC" w:rsidRPr="00CC5BC0">
        <w:t xml:space="preserve"> </w:t>
      </w:r>
      <w:r w:rsidRPr="00CC5BC0">
        <w:t xml:space="preserve">also consider the issues and possible risk management associated with vulnerabilities </w:t>
      </w:r>
      <w:r>
        <w:t xml:space="preserve">in the </w:t>
      </w:r>
      <w:r w:rsidRPr="00CC5BC0">
        <w:t>supply chain</w:t>
      </w:r>
      <w:r>
        <w:t>, including</w:t>
      </w:r>
      <w:r w:rsidRPr="00CC5BC0">
        <w:t xml:space="preserve"> the role of traceability and use of new technologies.</w:t>
      </w:r>
    </w:p>
    <w:p w14:paraId="7AB88C44" w14:textId="03BF7C84" w:rsidR="006D7256" w:rsidRDefault="008B6C00" w:rsidP="006D7256">
      <w:pPr>
        <w:pStyle w:val="Heading3"/>
        <w:keepLines/>
      </w:pPr>
      <w:bookmarkStart w:id="43" w:name="_Toc28953754"/>
      <w:bookmarkStart w:id="44" w:name="_Toc29288648"/>
      <w:bookmarkStart w:id="45" w:name="_Toc29998527"/>
      <w:r>
        <w:t>1.4</w:t>
      </w:r>
      <w:r w:rsidR="006D7256">
        <w:t>.2</w:t>
      </w:r>
      <w:r w:rsidR="006D7256">
        <w:tab/>
      </w:r>
      <w:r w:rsidR="00ED1C81">
        <w:t>‘High risk’ terminology</w:t>
      </w:r>
      <w:bookmarkEnd w:id="43"/>
      <w:bookmarkEnd w:id="44"/>
      <w:bookmarkEnd w:id="45"/>
    </w:p>
    <w:p w14:paraId="2F1C2088" w14:textId="0CB14A73" w:rsidR="00832182" w:rsidRDefault="00832182" w:rsidP="006E32D7">
      <w:r>
        <w:t xml:space="preserve">Risk is a function of </w:t>
      </w:r>
      <w:r w:rsidR="00E977ED">
        <w:t>how severe an adverse event is and how likely it is to occur.</w:t>
      </w:r>
      <w:r>
        <w:t xml:space="preserve"> Whether a </w:t>
      </w:r>
      <w:r>
        <w:lastRenderedPageBreak/>
        <w:t xml:space="preserve">food </w:t>
      </w:r>
      <w:r w:rsidR="00E977ED">
        <w:t>is determined</w:t>
      </w:r>
      <w:r>
        <w:t xml:space="preserve"> </w:t>
      </w:r>
      <w:r w:rsidR="00E977ED">
        <w:t>to be</w:t>
      </w:r>
      <w:r>
        <w:t xml:space="preserve"> </w:t>
      </w:r>
      <w:r w:rsidR="00E977ED">
        <w:t>‘high</w:t>
      </w:r>
      <w:r>
        <w:t xml:space="preserve"> risk</w:t>
      </w:r>
      <w:r w:rsidR="00E977ED">
        <w:t>’</w:t>
      </w:r>
      <w:r>
        <w:t xml:space="preserve"> depend</w:t>
      </w:r>
      <w:r w:rsidR="00E977ED">
        <w:t xml:space="preserve">s </w:t>
      </w:r>
      <w:r>
        <w:t xml:space="preserve">on the inherent nature of the </w:t>
      </w:r>
      <w:r w:rsidR="00B456CE">
        <w:t>food,</w:t>
      </w:r>
      <w:r w:rsidR="007F65A0">
        <w:t xml:space="preserve"> whether pathogens</w:t>
      </w:r>
      <w:r w:rsidR="00E977ED">
        <w:t xml:space="preserve"> can grow in it,</w:t>
      </w:r>
      <w:r w:rsidR="007F65A0">
        <w:t xml:space="preserve"> and</w:t>
      </w:r>
      <w:r>
        <w:t xml:space="preserve"> how </w:t>
      </w:r>
      <w:r w:rsidR="00B456CE">
        <w:t>the</w:t>
      </w:r>
      <w:r>
        <w:t xml:space="preserve"> food is produced and consumed</w:t>
      </w:r>
      <w:r w:rsidR="007F65A0">
        <w:t xml:space="preserve">. </w:t>
      </w:r>
      <w:r w:rsidR="000C329B">
        <w:t>Foods</w:t>
      </w:r>
      <w:r w:rsidR="007F65A0">
        <w:t xml:space="preserve"> that are minimally processed </w:t>
      </w:r>
      <w:r w:rsidR="000C329B">
        <w:t xml:space="preserve">(i.e. washed, trimmed, then packed) </w:t>
      </w:r>
      <w:r w:rsidR="007F65A0">
        <w:t xml:space="preserve">and are consumed fresh </w:t>
      </w:r>
      <w:r w:rsidR="000C329B">
        <w:t>without a</w:t>
      </w:r>
      <w:r>
        <w:t xml:space="preserve"> microbiocidal step to eliminate pathogens</w:t>
      </w:r>
      <w:r w:rsidR="000C329B">
        <w:t>,</w:t>
      </w:r>
      <w:r w:rsidR="007F65A0">
        <w:t xml:space="preserve"> generally present a higher risk than t</w:t>
      </w:r>
      <w:r w:rsidR="00E977ED">
        <w:t xml:space="preserve">hose that have undergone a kill </w:t>
      </w:r>
      <w:r w:rsidR="007F65A0">
        <w:t>step (</w:t>
      </w:r>
      <w:r w:rsidR="00E977ED">
        <w:t xml:space="preserve">e.g. </w:t>
      </w:r>
      <w:r w:rsidR="008A20F9">
        <w:t>cooking</w:t>
      </w:r>
      <w:r w:rsidR="007F65A0">
        <w:t>)</w:t>
      </w:r>
      <w:r>
        <w:t xml:space="preserve">. </w:t>
      </w:r>
    </w:p>
    <w:p w14:paraId="5A2359F0" w14:textId="45C57A75" w:rsidR="00832182" w:rsidRDefault="00832182" w:rsidP="006E32D7"/>
    <w:p w14:paraId="24E44010" w14:textId="4D0F07A8" w:rsidR="006E32D7" w:rsidRDefault="00832182" w:rsidP="006D698A">
      <w:pPr>
        <w:keepNext/>
        <w:keepLines/>
        <w:rPr>
          <w:szCs w:val="22"/>
        </w:rPr>
      </w:pPr>
      <w:r>
        <w:t xml:space="preserve">For the purposes of this work, the term </w:t>
      </w:r>
      <w:r w:rsidR="00ED1C81">
        <w:t>‘</w:t>
      </w:r>
      <w:r w:rsidRPr="00ED1C81">
        <w:t>high-risk horticulture</w:t>
      </w:r>
      <w:r w:rsidR="00ED1C81">
        <w:t>’</w:t>
      </w:r>
      <w:r>
        <w:t xml:space="preserve"> will be used to </w:t>
      </w:r>
      <w:r w:rsidR="000C329B">
        <w:t xml:space="preserve">refer to those </w:t>
      </w:r>
      <w:r>
        <w:t>commodities captured within the scope</w:t>
      </w:r>
      <w:r w:rsidR="00E977ED">
        <w:t>: leafy vegetables, melons and</w:t>
      </w:r>
      <w:r w:rsidR="00E977ED">
        <w:tab/>
        <w:t>berries</w:t>
      </w:r>
      <w:r w:rsidR="007F65A0">
        <w:t>.</w:t>
      </w:r>
    </w:p>
    <w:p w14:paraId="37B801CA" w14:textId="62EFD2EF" w:rsidR="00C86C38" w:rsidRPr="00252926" w:rsidRDefault="006D7256" w:rsidP="00FF49ED">
      <w:pPr>
        <w:pStyle w:val="Heading3"/>
        <w:keepLines/>
      </w:pPr>
      <w:bookmarkStart w:id="46" w:name="_Toc28953755"/>
      <w:bookmarkStart w:id="47" w:name="_Toc29288649"/>
      <w:bookmarkStart w:id="48" w:name="_Toc29998528"/>
      <w:r w:rsidRPr="001543D8">
        <w:t>1.</w:t>
      </w:r>
      <w:r w:rsidR="008B6C00">
        <w:t>4</w:t>
      </w:r>
      <w:r w:rsidRPr="001543D8">
        <w:t>.3</w:t>
      </w:r>
      <w:r w:rsidRPr="001543D8">
        <w:tab/>
      </w:r>
      <w:r w:rsidR="00C86C38" w:rsidRPr="00252926">
        <w:t>Excluded from scope</w:t>
      </w:r>
      <w:bookmarkEnd w:id="46"/>
      <w:bookmarkEnd w:id="47"/>
      <w:bookmarkEnd w:id="48"/>
    </w:p>
    <w:p w14:paraId="62C23FA3" w14:textId="2F902A47" w:rsidR="00443891" w:rsidRPr="00FE3F79" w:rsidRDefault="00443891" w:rsidP="00443891">
      <w:pPr>
        <w:keepNext/>
        <w:keepLines/>
      </w:pPr>
      <w:r>
        <w:t xml:space="preserve">The scope </w:t>
      </w:r>
      <w:r w:rsidR="006D7256">
        <w:t xml:space="preserve">of this proposal </w:t>
      </w:r>
      <w:r>
        <w:t>does not include seed sprouts or r</w:t>
      </w:r>
      <w:r w:rsidRPr="00FE3F79">
        <w:t>eady-to-eat (RTE) and minimally processed fruits and vegetables</w:t>
      </w:r>
      <w:r>
        <w:t xml:space="preserve"> besides berries, melons and leafy vegetables.</w:t>
      </w:r>
    </w:p>
    <w:p w14:paraId="59EC944B" w14:textId="77777777" w:rsidR="00937A9A" w:rsidRDefault="00937A9A" w:rsidP="00F94EFE"/>
    <w:p w14:paraId="1FCC1637" w14:textId="20BA2C24" w:rsidR="00937A9A" w:rsidRDefault="00443891" w:rsidP="00F94EFE">
      <w:r>
        <w:t>RTE</w:t>
      </w:r>
      <w:r w:rsidR="000C329B" w:rsidRPr="00FE3F79">
        <w:t xml:space="preserve"> </w:t>
      </w:r>
      <w:r w:rsidR="00C36986" w:rsidRPr="00FE3F79">
        <w:t>and minimally processed fruits and vegetables</w:t>
      </w:r>
      <w:r w:rsidR="00C36986">
        <w:t xml:space="preserve"> </w:t>
      </w:r>
      <w:r w:rsidR="000C329B">
        <w:t>is a very broad category, with no consistent definition or boundary. The</w:t>
      </w:r>
      <w:r w:rsidR="0095382E">
        <w:t xml:space="preserve"> archived</w:t>
      </w:r>
      <w:r w:rsidR="000C329B">
        <w:t xml:space="preserve"> Canadian</w:t>
      </w:r>
      <w:r w:rsidR="000C329B" w:rsidRPr="00FE3F79">
        <w:t xml:space="preserve"> </w:t>
      </w:r>
      <w:r w:rsidR="000C329B" w:rsidRPr="00FE3F79">
        <w:rPr>
          <w:i/>
        </w:rPr>
        <w:t>Code of Practice for Minimally Processed Ready-to-Eat Fruit and Vegetables</w:t>
      </w:r>
      <w:r w:rsidR="009863F3">
        <w:rPr>
          <w:rStyle w:val="FootnoteReference"/>
          <w:i/>
        </w:rPr>
        <w:footnoteReference w:id="6"/>
      </w:r>
      <w:r w:rsidR="000C329B" w:rsidRPr="00FE3F79">
        <w:t xml:space="preserve"> </w:t>
      </w:r>
      <w:r w:rsidR="00937A9A">
        <w:t xml:space="preserve">for example, </w:t>
      </w:r>
      <w:r w:rsidR="00FE3F79" w:rsidRPr="00FE3F79">
        <w:t xml:space="preserve">refers to raw fruit and vegetables </w:t>
      </w:r>
      <w:r w:rsidR="000C329B">
        <w:t xml:space="preserve">that have been minimally processed (i.e. peeled, sliced, chopped or shredded) </w:t>
      </w:r>
      <w:r w:rsidR="00226C91">
        <w:t>before</w:t>
      </w:r>
      <w:r w:rsidR="000C329B">
        <w:t xml:space="preserve"> being packaged for sale</w:t>
      </w:r>
      <w:r w:rsidR="00FE3F79">
        <w:t xml:space="preserve">. </w:t>
      </w:r>
    </w:p>
    <w:p w14:paraId="38F6B141" w14:textId="77777777" w:rsidR="00937A9A" w:rsidRDefault="00937A9A" w:rsidP="00F94EFE"/>
    <w:p w14:paraId="46E5D7AB" w14:textId="1F185788" w:rsidR="00F94EFE" w:rsidRDefault="00937A9A" w:rsidP="00A560F0">
      <w:pPr>
        <w:keepNext/>
        <w:keepLines/>
      </w:pPr>
      <w:r>
        <w:t>In Australia, p</w:t>
      </w:r>
      <w:r w:rsidR="00FE3F79">
        <w:t>roducers and/or processors who hand</w:t>
      </w:r>
      <w:r w:rsidR="00226C91">
        <w:t>le</w:t>
      </w:r>
      <w:r w:rsidR="00FE3F79">
        <w:t xml:space="preserve"> food for sale </w:t>
      </w:r>
      <w:r w:rsidR="007F772C">
        <w:t xml:space="preserve">– such as RTE </w:t>
      </w:r>
      <w:r w:rsidR="007F772C" w:rsidRPr="00FE3F79">
        <w:t>and minimally processed fruits and vegetables</w:t>
      </w:r>
      <w:r w:rsidR="007F772C">
        <w:t xml:space="preserve"> - </w:t>
      </w:r>
      <w:r w:rsidR="00FE3F79">
        <w:t xml:space="preserve">are </w:t>
      </w:r>
      <w:r w:rsidR="00AE04D2">
        <w:t>‘</w:t>
      </w:r>
      <w:r w:rsidR="00FE3F79">
        <w:t>food businesses</w:t>
      </w:r>
      <w:r w:rsidR="00AE04D2">
        <w:t>’ for regulatory purposes</w:t>
      </w:r>
      <w:r w:rsidR="00FE3F79">
        <w:t xml:space="preserve"> and subject to the food safety requirements in Chapter 3 of the Code (</w:t>
      </w:r>
      <w:r w:rsidR="00FE3F79" w:rsidRPr="00A560F0">
        <w:t xml:space="preserve">see section </w:t>
      </w:r>
      <w:r w:rsidR="00A560F0" w:rsidRPr="00A560F0">
        <w:t>4</w:t>
      </w:r>
      <w:r w:rsidR="008B6C00" w:rsidRPr="00A560F0">
        <w:t>.1</w:t>
      </w:r>
      <w:r w:rsidR="00FE3F79">
        <w:t xml:space="preserve">). </w:t>
      </w:r>
      <w:r w:rsidR="00046DA6">
        <w:t xml:space="preserve">Melons and leafy vegetables are often components of </w:t>
      </w:r>
      <w:r w:rsidR="009D6377">
        <w:t>RTE</w:t>
      </w:r>
      <w:r w:rsidR="00046DA6">
        <w:t xml:space="preserve"> minimally processed fruits and vegetables (</w:t>
      </w:r>
      <w:r w:rsidR="00FE3F79">
        <w:t>such as</w:t>
      </w:r>
      <w:r w:rsidR="00046DA6">
        <w:t xml:space="preserve"> pre-cut fruit salad and bagged salad vegetables, respectively). </w:t>
      </w:r>
      <w:r w:rsidR="00F94EFE">
        <w:t xml:space="preserve">Assessment work for </w:t>
      </w:r>
      <w:r w:rsidR="000308BF">
        <w:t>melons and leafy vegetables</w:t>
      </w:r>
      <w:r w:rsidR="00046DA6">
        <w:t xml:space="preserve"> </w:t>
      </w:r>
      <w:r w:rsidR="002D3993">
        <w:t>may</w:t>
      </w:r>
      <w:r w:rsidR="00046DA6">
        <w:t xml:space="preserve"> </w:t>
      </w:r>
      <w:r w:rsidR="00226C91">
        <w:t>indicate whether</w:t>
      </w:r>
      <w:r w:rsidR="00046DA6">
        <w:t xml:space="preserve"> </w:t>
      </w:r>
      <w:r w:rsidR="00032725">
        <w:t>additional</w:t>
      </w:r>
      <w:r w:rsidR="000308BF">
        <w:t xml:space="preserve"> </w:t>
      </w:r>
      <w:r w:rsidR="00226C91">
        <w:t xml:space="preserve">products will </w:t>
      </w:r>
      <w:r w:rsidR="000308BF">
        <w:t xml:space="preserve">also </w:t>
      </w:r>
      <w:r w:rsidR="00226C91">
        <w:t>need conside</w:t>
      </w:r>
      <w:r w:rsidR="000308BF">
        <w:t>ration</w:t>
      </w:r>
      <w:r w:rsidR="007F772C">
        <w:t xml:space="preserve"> as part of this Proposal</w:t>
      </w:r>
      <w:r w:rsidR="00046DA6">
        <w:t>.</w:t>
      </w:r>
      <w:r w:rsidR="00F94EFE">
        <w:t xml:space="preserve"> </w:t>
      </w:r>
    </w:p>
    <w:p w14:paraId="18B0056B" w14:textId="77777777" w:rsidR="00F94EFE" w:rsidRDefault="00F94EFE" w:rsidP="00F94EFE">
      <w:pPr>
        <w:rPr>
          <w:szCs w:val="22"/>
        </w:rPr>
      </w:pPr>
    </w:p>
    <w:p w14:paraId="255CE2B8" w14:textId="5BD01F17" w:rsidR="00E00B7F" w:rsidRDefault="00F56EA5" w:rsidP="00180C41">
      <w:r w:rsidRPr="00FA07D7">
        <w:t xml:space="preserve">Standard 4.2.6 for </w:t>
      </w:r>
      <w:r w:rsidR="00CC0124" w:rsidRPr="00FA07D7">
        <w:t xml:space="preserve">seed sprouts </w:t>
      </w:r>
      <w:r w:rsidR="00CC0124">
        <w:t>contains</w:t>
      </w:r>
      <w:r w:rsidRPr="00FA07D7">
        <w:t xml:space="preserve"> requirements for traceability and processing activities </w:t>
      </w:r>
      <w:r w:rsidR="00CC0124">
        <w:t xml:space="preserve">that apply </w:t>
      </w:r>
      <w:r w:rsidRPr="00FA07D7">
        <w:t xml:space="preserve">to </w:t>
      </w:r>
      <w:r>
        <w:t>sprout</w:t>
      </w:r>
      <w:r w:rsidRPr="00FA07D7">
        <w:t xml:space="preserve"> processors</w:t>
      </w:r>
      <w:r w:rsidR="00CC0124">
        <w:t>. Their</w:t>
      </w:r>
      <w:r w:rsidRPr="00FA07D7" w:rsidDel="00CC0124">
        <w:t xml:space="preserve"> </w:t>
      </w:r>
      <w:r w:rsidRPr="00FA07D7">
        <w:t>activities present the most effective point for risk mitigation for food for sale. Requirements in the food safety standards (</w:t>
      </w:r>
      <w:r w:rsidR="009D6377">
        <w:t>Standard</w:t>
      </w:r>
      <w:r w:rsidR="00CC0124">
        <w:t>s</w:t>
      </w:r>
      <w:r w:rsidR="009D6377">
        <w:t xml:space="preserve"> </w:t>
      </w:r>
      <w:r w:rsidRPr="00FA07D7">
        <w:t>3.2.2 and 3.2.3) also apply</w:t>
      </w:r>
      <w:r w:rsidR="00CC0124">
        <w:t xml:space="preserve"> to</w:t>
      </w:r>
      <w:r w:rsidRPr="00FA07D7">
        <w:t xml:space="preserve"> </w:t>
      </w:r>
      <w:r w:rsidR="00A64582">
        <w:t xml:space="preserve">seed </w:t>
      </w:r>
      <w:r w:rsidRPr="00FA07D7">
        <w:t xml:space="preserve">sprout processors </w:t>
      </w:r>
      <w:r w:rsidR="00CC0124">
        <w:t xml:space="preserve">as they </w:t>
      </w:r>
      <w:r w:rsidRPr="00FA07D7">
        <w:t>are food businesses</w:t>
      </w:r>
      <w:r>
        <w:t>.</w:t>
      </w:r>
      <w:r w:rsidR="00F94EFE" w:rsidRPr="00F94EFE">
        <w:t xml:space="preserve"> </w:t>
      </w:r>
      <w:r w:rsidR="00511807" w:rsidRPr="00F5326C">
        <w:t xml:space="preserve">The </w:t>
      </w:r>
      <w:r w:rsidR="009417FA">
        <w:t>regulatory impact statement (</w:t>
      </w:r>
      <w:r w:rsidR="00CC0124">
        <w:t>RIS</w:t>
      </w:r>
      <w:r w:rsidR="009417FA">
        <w:t>)</w:t>
      </w:r>
      <w:r w:rsidR="00511807">
        <w:t xml:space="preserve"> for P1004</w:t>
      </w:r>
      <w:r w:rsidR="00CC0124" w:rsidRPr="00CC0124">
        <w:t xml:space="preserve"> </w:t>
      </w:r>
      <w:r w:rsidR="00CC0124">
        <w:t>indicated</w:t>
      </w:r>
      <w:r w:rsidR="00CC0124" w:rsidRPr="00F5326C">
        <w:t xml:space="preserve"> </w:t>
      </w:r>
      <w:r w:rsidR="00CC0124">
        <w:t xml:space="preserve">that the </w:t>
      </w:r>
      <w:r w:rsidR="00CC0124" w:rsidRPr="00F5326C">
        <w:t xml:space="preserve">community </w:t>
      </w:r>
      <w:r w:rsidR="00CC0124">
        <w:t xml:space="preserve">would receive the </w:t>
      </w:r>
      <w:r w:rsidR="00CC0124" w:rsidRPr="00F5326C">
        <w:t xml:space="preserve">highest net benefit </w:t>
      </w:r>
      <w:r w:rsidR="00CC0124">
        <w:t xml:space="preserve">if </w:t>
      </w:r>
      <w:r w:rsidR="00CC0124" w:rsidRPr="00F5326C">
        <w:t xml:space="preserve">only </w:t>
      </w:r>
      <w:r w:rsidR="0095382E">
        <w:t xml:space="preserve">seed </w:t>
      </w:r>
      <w:r w:rsidR="00CC0124" w:rsidRPr="00F5326C">
        <w:t xml:space="preserve">sprout processors </w:t>
      </w:r>
      <w:r w:rsidR="00937A9A">
        <w:t xml:space="preserve">(i.e. not producers) </w:t>
      </w:r>
      <w:r w:rsidR="00CC0124">
        <w:t>were regulated</w:t>
      </w:r>
      <w:r w:rsidR="00511807">
        <w:t>. Based on th</w:t>
      </w:r>
      <w:r w:rsidR="005A272C">
        <w:t xml:space="preserve">is </w:t>
      </w:r>
      <w:r w:rsidR="00511807">
        <w:t xml:space="preserve">and other technical information, </w:t>
      </w:r>
      <w:r w:rsidR="005A272C" w:rsidRPr="00391245">
        <w:t xml:space="preserve">the standard explicitly excluded </w:t>
      </w:r>
      <w:r w:rsidR="00511807">
        <w:t>requirements for se</w:t>
      </w:r>
      <w:r w:rsidR="00F94EFE" w:rsidRPr="00FA07D7">
        <w:t>ed production</w:t>
      </w:r>
      <w:r w:rsidR="00A64582">
        <w:t xml:space="preserve"> </w:t>
      </w:r>
      <w:r w:rsidR="00A64582">
        <w:lastRenderedPageBreak/>
        <w:t>(i.e. primary production)</w:t>
      </w:r>
      <w:r w:rsidR="00391245">
        <w:t>.</w:t>
      </w:r>
    </w:p>
    <w:p w14:paraId="462812C9" w14:textId="77777777" w:rsidR="00E00B7F" w:rsidRDefault="00E00B7F" w:rsidP="00180C41"/>
    <w:p w14:paraId="2EE2186F" w14:textId="515B02B0" w:rsidR="00DE79D9" w:rsidRDefault="00E00B7F" w:rsidP="00180C41">
      <w:r>
        <w:t xml:space="preserve">These excluded commodities are already covered by regulatory requirements in the Code. FSANZ will consider these commodities </w:t>
      </w:r>
      <w:r w:rsidR="00B67049">
        <w:t>further</w:t>
      </w:r>
      <w:r>
        <w:t xml:space="preserve"> as a part of the review of Chapter 4 of the Code</w:t>
      </w:r>
      <w:r w:rsidR="000E019B">
        <w:t xml:space="preserve">. </w:t>
      </w:r>
    </w:p>
    <w:p w14:paraId="395ED1D0" w14:textId="77777777" w:rsidR="006D7256" w:rsidRDefault="006D7256" w:rsidP="006D7256">
      <w:pPr>
        <w:rPr>
          <w:color w:val="000000" w:themeColor="text1"/>
        </w:rPr>
      </w:pPr>
    </w:p>
    <w:p w14:paraId="32D028B3" w14:textId="5E5F9411" w:rsidR="00AF387F" w:rsidRDefault="00D3171B" w:rsidP="006D698A">
      <w:pPr>
        <w:pStyle w:val="Heading1"/>
        <w:keepLines/>
      </w:pPr>
      <w:bookmarkStart w:id="49" w:name="_Toc300933424"/>
      <w:bookmarkStart w:id="50" w:name="_Toc27667536"/>
      <w:bookmarkStart w:id="51" w:name="_Toc28953757"/>
      <w:bookmarkStart w:id="52" w:name="_Toc29288651"/>
      <w:bookmarkStart w:id="53" w:name="_Toc29998529"/>
      <w:r>
        <w:t>2</w:t>
      </w:r>
      <w:r w:rsidR="001542D8">
        <w:tab/>
      </w:r>
      <w:bookmarkEnd w:id="29"/>
      <w:bookmarkEnd w:id="49"/>
      <w:r w:rsidR="00F064DE">
        <w:t>Background</w:t>
      </w:r>
      <w:bookmarkEnd w:id="50"/>
      <w:bookmarkEnd w:id="51"/>
      <w:bookmarkEnd w:id="52"/>
      <w:bookmarkEnd w:id="53"/>
    </w:p>
    <w:p w14:paraId="698763F7" w14:textId="6EB24C38" w:rsidR="005C2237" w:rsidRPr="00017F5F" w:rsidRDefault="00017F5F" w:rsidP="006D698A">
      <w:pPr>
        <w:pStyle w:val="Heading2"/>
        <w:keepLines/>
      </w:pPr>
      <w:bookmarkStart w:id="54" w:name="_Toc27667537"/>
      <w:bookmarkStart w:id="55" w:name="_Toc28953758"/>
      <w:bookmarkStart w:id="56" w:name="_Toc29288652"/>
      <w:bookmarkStart w:id="57" w:name="_Toc29998530"/>
      <w:bookmarkStart w:id="58" w:name="_Toc7447711"/>
      <w:r w:rsidRPr="00017F5F">
        <w:t>2.</w:t>
      </w:r>
      <w:r w:rsidR="008B6C00">
        <w:t>1</w:t>
      </w:r>
      <w:r w:rsidRPr="00017F5F">
        <w:tab/>
      </w:r>
      <w:r w:rsidR="0045469D">
        <w:t>Previous FSANZ consideration</w:t>
      </w:r>
      <w:bookmarkEnd w:id="54"/>
      <w:bookmarkEnd w:id="55"/>
      <w:bookmarkEnd w:id="56"/>
      <w:bookmarkEnd w:id="57"/>
    </w:p>
    <w:p w14:paraId="461E4D13" w14:textId="0DE94925" w:rsidR="001E7278" w:rsidRDefault="001E7278" w:rsidP="006D698A">
      <w:pPr>
        <w:keepNext/>
        <w:keepLines/>
      </w:pPr>
      <w:r>
        <w:t xml:space="preserve">In 2011, FSANZ prepared a proposal to examine food safety management in horticulture under Proposal P1015 – </w:t>
      </w:r>
      <w:r w:rsidR="009F2648">
        <w:t>PPP</w:t>
      </w:r>
      <w:r>
        <w:t xml:space="preserve"> Standard for Horticulture</w:t>
      </w:r>
      <w:r w:rsidR="006D698A">
        <w:t>.</w:t>
      </w:r>
      <w:r>
        <w:t xml:space="preserve"> </w:t>
      </w:r>
    </w:p>
    <w:p w14:paraId="137FA527" w14:textId="77777777" w:rsidR="001E7278" w:rsidRDefault="001E7278" w:rsidP="006D698A">
      <w:pPr>
        <w:keepNext/>
        <w:keepLines/>
      </w:pPr>
    </w:p>
    <w:p w14:paraId="22EF7514" w14:textId="5596B574" w:rsidR="001E7278" w:rsidRDefault="001E7278" w:rsidP="006D698A">
      <w:pPr>
        <w:keepNext/>
        <w:keepLines/>
      </w:pPr>
      <w:r>
        <w:t>P1015 aimed to examine the hazards associated with horticultur</w:t>
      </w:r>
      <w:r w:rsidR="0039257B">
        <w:t>al</w:t>
      </w:r>
      <w:r>
        <w:t xml:space="preserve"> produc</w:t>
      </w:r>
      <w:r w:rsidR="00C04A28">
        <w:t>ts</w:t>
      </w:r>
      <w:r>
        <w:t>, existing risk management measures</w:t>
      </w:r>
      <w:r w:rsidR="005A272C">
        <w:t>,</w:t>
      </w:r>
      <w:r>
        <w:t xml:space="preserve"> and possible measures that could be introduced into the horticulture sector. </w:t>
      </w:r>
      <w:r w:rsidR="005C2237" w:rsidRPr="00AD0337">
        <w:t xml:space="preserve">The scope of the project included fresh </w:t>
      </w:r>
      <w:r w:rsidR="00330B80">
        <w:t>(</w:t>
      </w:r>
      <w:r w:rsidR="00330B80" w:rsidRPr="00AD0337">
        <w:t>raw</w:t>
      </w:r>
      <w:r w:rsidR="00330B80">
        <w:t>)</w:t>
      </w:r>
      <w:r w:rsidR="00330B80" w:rsidRPr="00AD0337">
        <w:t xml:space="preserve"> </w:t>
      </w:r>
      <w:r w:rsidR="005C2237" w:rsidRPr="00AD0337">
        <w:t>horticultur</w:t>
      </w:r>
      <w:r w:rsidR="0039257B">
        <w:t>al</w:t>
      </w:r>
      <w:r w:rsidR="005C2237" w:rsidRPr="00AD0337">
        <w:t xml:space="preserve"> produc</w:t>
      </w:r>
      <w:r w:rsidR="00C04A28">
        <w:t>ts</w:t>
      </w:r>
      <w:r w:rsidR="005C2237" w:rsidRPr="00AD0337">
        <w:t>: fruit, vegetables (including mushrooms and microgreens), herbs and nuts</w:t>
      </w:r>
      <w:r w:rsidR="005A272C">
        <w:t>. It included through-</w:t>
      </w:r>
      <w:r w:rsidR="005C2237" w:rsidRPr="00AD0337">
        <w:t xml:space="preserve">chain </w:t>
      </w:r>
      <w:r w:rsidR="005A272C">
        <w:t xml:space="preserve">production from </w:t>
      </w:r>
      <w:r w:rsidR="005C2237" w:rsidRPr="00AD0337">
        <w:t>farm to sale.</w:t>
      </w:r>
      <w:r w:rsidR="00E1368B">
        <w:t xml:space="preserve"> </w:t>
      </w:r>
      <w:r>
        <w:t xml:space="preserve">A key driver for this project was the continuation of work to introduce PPP standards into commodity sectors identified by the then Ministerial Council on Food Regulation (now </w:t>
      </w:r>
      <w:r w:rsidR="005A272C">
        <w:t xml:space="preserve">the </w:t>
      </w:r>
      <w:r>
        <w:t xml:space="preserve">Forum). </w:t>
      </w:r>
    </w:p>
    <w:p w14:paraId="30FD8E89" w14:textId="77777777" w:rsidR="005C2237" w:rsidRDefault="005C2237" w:rsidP="001E7278"/>
    <w:p w14:paraId="78DA9289" w14:textId="7CAA21DA" w:rsidR="005C2237" w:rsidRPr="00AD0337" w:rsidRDefault="00AE5558" w:rsidP="005C2237">
      <w:r>
        <w:t>Reviews of horticulture associated</w:t>
      </w:r>
      <w:r w:rsidR="005C2237" w:rsidRPr="00AD0337">
        <w:t xml:space="preserve"> foodborne illness</w:t>
      </w:r>
      <w:r w:rsidR="005C2237">
        <w:t xml:space="preserve"> and</w:t>
      </w:r>
      <w:r w:rsidR="005C2237" w:rsidRPr="00AD0337">
        <w:t xml:space="preserve"> </w:t>
      </w:r>
      <w:r w:rsidR="005C2237">
        <w:t xml:space="preserve">existing </w:t>
      </w:r>
      <w:r w:rsidR="005C2237" w:rsidRPr="00AD0337">
        <w:t>food safety systems</w:t>
      </w:r>
      <w:r>
        <w:t xml:space="preserve"> were done and</w:t>
      </w:r>
      <w:r w:rsidR="005C2237" w:rsidRPr="00AD0337">
        <w:t xml:space="preserve"> are available as </w:t>
      </w:r>
      <w:r w:rsidR="000056FA" w:rsidRPr="00AD0337">
        <w:t>supporting documents</w:t>
      </w:r>
      <w:r w:rsidR="000056FA">
        <w:t xml:space="preserve"> </w:t>
      </w:r>
      <w:r w:rsidR="00EE55EE">
        <w:t>(SD</w:t>
      </w:r>
      <w:r w:rsidR="005C2237" w:rsidRPr="00AD0337">
        <w:t xml:space="preserve">2 and </w:t>
      </w:r>
      <w:r w:rsidR="000056FA">
        <w:t>SD</w:t>
      </w:r>
      <w:r w:rsidR="005C2237" w:rsidRPr="00AD0337">
        <w:t>3</w:t>
      </w:r>
      <w:r w:rsidR="000056FA">
        <w:t>)</w:t>
      </w:r>
      <w:r w:rsidR="005C2237" w:rsidRPr="00AD0337">
        <w:t xml:space="preserve"> to P1015 respectively</w:t>
      </w:r>
      <w:r w:rsidR="005C2237" w:rsidRPr="00AD0337">
        <w:rPr>
          <w:rStyle w:val="FootnoteReference"/>
        </w:rPr>
        <w:footnoteReference w:id="7"/>
      </w:r>
      <w:r w:rsidR="005C2237" w:rsidRPr="00AD0337">
        <w:t>.</w:t>
      </w:r>
    </w:p>
    <w:p w14:paraId="0B1C859F" w14:textId="77777777" w:rsidR="005C2237" w:rsidRDefault="005C2237" w:rsidP="001E7278"/>
    <w:p w14:paraId="42AA7C23" w14:textId="609E010D" w:rsidR="001E7278" w:rsidRDefault="00935C6C" w:rsidP="001E7278">
      <w:r>
        <w:t>K</w:t>
      </w:r>
      <w:r w:rsidR="001E7278">
        <w:t xml:space="preserve">ey findings </w:t>
      </w:r>
      <w:r>
        <w:t xml:space="preserve">of the P1015 assessment </w:t>
      </w:r>
      <w:r w:rsidR="001E7278">
        <w:t>included:</w:t>
      </w:r>
    </w:p>
    <w:p w14:paraId="740A6180" w14:textId="29ED50B6" w:rsidR="00C9316B" w:rsidDel="00FD36F3" w:rsidRDefault="001A5D34" w:rsidP="00443C43">
      <w:pPr>
        <w:pStyle w:val="ListParagraph"/>
        <w:widowControl/>
        <w:numPr>
          <w:ilvl w:val="0"/>
          <w:numId w:val="6"/>
        </w:numPr>
      </w:pPr>
      <w:r>
        <w:t xml:space="preserve">The </w:t>
      </w:r>
      <w:r w:rsidR="001E7278" w:rsidRPr="00AC31FD">
        <w:t>review</w:t>
      </w:r>
      <w:r w:rsidR="001E7278">
        <w:t xml:space="preserve"> of foodborne illness</w:t>
      </w:r>
      <w:r>
        <w:t xml:space="preserve"> confirmed</w:t>
      </w:r>
      <w:r w:rsidRPr="00AC31FD">
        <w:t xml:space="preserve"> </w:t>
      </w:r>
      <w:r w:rsidR="00AE5558">
        <w:t xml:space="preserve">the assumptions about the types of </w:t>
      </w:r>
      <w:r w:rsidR="001E7278" w:rsidRPr="00AC31FD">
        <w:t>commodities and production activities most likely to result in produce contamination and outbreaks</w:t>
      </w:r>
      <w:r w:rsidR="005C2237">
        <w:t>.</w:t>
      </w:r>
      <w:r w:rsidR="005C2237" w:rsidDel="001A5D34">
        <w:t xml:space="preserve"> </w:t>
      </w:r>
      <w:r w:rsidR="00AE5558">
        <w:rPr>
          <w:rFonts w:cs="Arial"/>
        </w:rPr>
        <w:t>However, the conclusion</w:t>
      </w:r>
      <w:r>
        <w:rPr>
          <w:rFonts w:cs="Arial"/>
        </w:rPr>
        <w:t xml:space="preserve">s did not preclude </w:t>
      </w:r>
      <w:r w:rsidR="005C2237" w:rsidRPr="00AD0337">
        <w:rPr>
          <w:rFonts w:cs="Arial"/>
        </w:rPr>
        <w:t>other commodities and/or production activities</w:t>
      </w:r>
      <w:r>
        <w:rPr>
          <w:rFonts w:cs="Arial"/>
        </w:rPr>
        <w:t xml:space="preserve"> </w:t>
      </w:r>
      <w:r w:rsidR="005C2237" w:rsidRPr="00AD0337">
        <w:rPr>
          <w:rFonts w:cs="Arial"/>
        </w:rPr>
        <w:t>be</w:t>
      </w:r>
      <w:r>
        <w:rPr>
          <w:rFonts w:cs="Arial"/>
        </w:rPr>
        <w:t>ing</w:t>
      </w:r>
      <w:r w:rsidR="005C2237" w:rsidRPr="00AD0337">
        <w:rPr>
          <w:rFonts w:cs="Arial"/>
        </w:rPr>
        <w:t xml:space="preserve"> </w:t>
      </w:r>
      <w:r>
        <w:rPr>
          <w:rFonts w:cs="Arial"/>
        </w:rPr>
        <w:t>associated with</w:t>
      </w:r>
      <w:r w:rsidR="005C2237" w:rsidRPr="00AD0337">
        <w:rPr>
          <w:rFonts w:cs="Arial"/>
        </w:rPr>
        <w:t xml:space="preserve"> future horticultural-associated outbreaks</w:t>
      </w:r>
      <w:r>
        <w:rPr>
          <w:rFonts w:cs="Arial"/>
        </w:rPr>
        <w:t>.</w:t>
      </w:r>
      <w:r w:rsidR="00822F3B">
        <w:rPr>
          <w:rFonts w:cs="Arial"/>
        </w:rPr>
        <w:t xml:space="preserve"> Section 3.1.1 has further information.</w:t>
      </w:r>
      <w:r w:rsidR="00A35C93">
        <w:rPr>
          <w:rFonts w:cs="Arial"/>
        </w:rPr>
        <w:t xml:space="preserve"> </w:t>
      </w:r>
    </w:p>
    <w:p w14:paraId="590574C2" w14:textId="604C3996" w:rsidR="001E7278" w:rsidRDefault="001A5D34" w:rsidP="00443C43">
      <w:pPr>
        <w:pStyle w:val="ListParagraph"/>
        <w:widowControl/>
        <w:numPr>
          <w:ilvl w:val="0"/>
          <w:numId w:val="6"/>
        </w:numPr>
      </w:pPr>
      <w:r>
        <w:t xml:space="preserve">An </w:t>
      </w:r>
      <w:r w:rsidR="001E7278">
        <w:t xml:space="preserve">estimated </w:t>
      </w:r>
      <w:r w:rsidR="001E7278" w:rsidRPr="00AC31FD">
        <w:t xml:space="preserve">70-80% of horticultural produce </w:t>
      </w:r>
      <w:r w:rsidR="001E7278">
        <w:t xml:space="preserve">for sale </w:t>
      </w:r>
      <w:r w:rsidR="001E7278" w:rsidRPr="00AC31FD">
        <w:t xml:space="preserve">in Australia </w:t>
      </w:r>
      <w:r w:rsidR="001E7278">
        <w:t>was</w:t>
      </w:r>
      <w:r w:rsidR="001E7278" w:rsidRPr="00AC31FD">
        <w:t xml:space="preserve"> </w:t>
      </w:r>
      <w:r w:rsidR="001E7278">
        <w:t>produced</w:t>
      </w:r>
      <w:r w:rsidR="001E7278" w:rsidRPr="00AC31FD">
        <w:t xml:space="preserve"> under </w:t>
      </w:r>
      <w:r w:rsidR="001E7278">
        <w:t>a food safety</w:t>
      </w:r>
      <w:r w:rsidR="001E7278" w:rsidRPr="00AC31FD">
        <w:t xml:space="preserve"> scheme</w:t>
      </w:r>
      <w:r>
        <w:t>.</w:t>
      </w:r>
    </w:p>
    <w:p w14:paraId="415D18B5" w14:textId="74F98EBD" w:rsidR="001E7278" w:rsidRDefault="001A5D34" w:rsidP="00443C43">
      <w:pPr>
        <w:pStyle w:val="ListParagraph"/>
        <w:widowControl/>
        <w:numPr>
          <w:ilvl w:val="0"/>
          <w:numId w:val="6"/>
        </w:numPr>
      </w:pPr>
      <w:r>
        <w:t>E</w:t>
      </w:r>
      <w:r w:rsidR="001E7278">
        <w:t xml:space="preserve">nforcement of regulatory requirements for horticulture would be challenging </w:t>
      </w:r>
      <w:r>
        <w:t>because</w:t>
      </w:r>
      <w:r w:rsidR="001E7278">
        <w:t xml:space="preserve"> the horticulture industry </w:t>
      </w:r>
      <w:r>
        <w:t>has</w:t>
      </w:r>
      <w:r w:rsidR="001E7278">
        <w:t xml:space="preserve"> a large proportion of small businesses, </w:t>
      </w:r>
      <w:r>
        <w:t>is</w:t>
      </w:r>
      <w:r w:rsidR="001E7278">
        <w:t xml:space="preserve"> divers</w:t>
      </w:r>
      <w:r>
        <w:t>e,</w:t>
      </w:r>
      <w:r w:rsidR="001E7278">
        <w:t xml:space="preserve"> changeab</w:t>
      </w:r>
      <w:r>
        <w:t>le</w:t>
      </w:r>
      <w:r w:rsidR="001E7278">
        <w:t xml:space="preserve"> </w:t>
      </w:r>
      <w:r>
        <w:t>(in terms of</w:t>
      </w:r>
      <w:r w:rsidR="001E7278">
        <w:t xml:space="preserve"> commodities</w:t>
      </w:r>
      <w:r>
        <w:t>),</w:t>
      </w:r>
      <w:r w:rsidR="001E7278">
        <w:t xml:space="preserve"> and geographical</w:t>
      </w:r>
      <w:r>
        <w:t>ly spread</w:t>
      </w:r>
      <w:r w:rsidR="00905B65">
        <w:t>.</w:t>
      </w:r>
      <w:r w:rsidR="001E7278">
        <w:t xml:space="preserve"> </w:t>
      </w:r>
    </w:p>
    <w:p w14:paraId="46E1063D" w14:textId="38368113" w:rsidR="005C2237" w:rsidRPr="00C9669D" w:rsidRDefault="001A5D34" w:rsidP="00443C43">
      <w:pPr>
        <w:pStyle w:val="ListParagraph"/>
        <w:widowControl/>
        <w:numPr>
          <w:ilvl w:val="0"/>
          <w:numId w:val="6"/>
        </w:numPr>
        <w:tabs>
          <w:tab w:val="left" w:pos="1134"/>
        </w:tabs>
        <w:rPr>
          <w:rFonts w:cs="Arial"/>
          <w:szCs w:val="20"/>
        </w:rPr>
      </w:pPr>
      <w:r>
        <w:rPr>
          <w:rFonts w:cs="Arial"/>
          <w:szCs w:val="20"/>
        </w:rPr>
        <w:lastRenderedPageBreak/>
        <w:t>T</w:t>
      </w:r>
      <w:r w:rsidR="005C2237" w:rsidRPr="00C9669D">
        <w:rPr>
          <w:rFonts w:cs="Arial"/>
          <w:szCs w:val="20"/>
        </w:rPr>
        <w:t>he nature an</w:t>
      </w:r>
      <w:r w:rsidR="005C2237">
        <w:rPr>
          <w:rFonts w:cs="Arial"/>
          <w:szCs w:val="20"/>
        </w:rPr>
        <w:t>d</w:t>
      </w:r>
      <w:r w:rsidR="005C2237" w:rsidRPr="00C9669D">
        <w:rPr>
          <w:rFonts w:cs="Arial"/>
          <w:szCs w:val="20"/>
        </w:rPr>
        <w:t xml:space="preserve"> number of horticultural produce businesses</w:t>
      </w:r>
      <w:r>
        <w:rPr>
          <w:rFonts w:cs="Arial"/>
          <w:szCs w:val="20"/>
        </w:rPr>
        <w:t xml:space="preserve"> </w:t>
      </w:r>
      <w:r w:rsidR="001B289B">
        <w:rPr>
          <w:rFonts w:cs="Arial"/>
          <w:szCs w:val="20"/>
        </w:rPr>
        <w:t>was</w:t>
      </w:r>
      <w:r>
        <w:rPr>
          <w:rFonts w:cs="Arial"/>
          <w:szCs w:val="20"/>
        </w:rPr>
        <w:t xml:space="preserve"> uncertain</w:t>
      </w:r>
      <w:r w:rsidR="005C2237">
        <w:rPr>
          <w:rFonts w:cs="Arial"/>
          <w:szCs w:val="20"/>
        </w:rPr>
        <w:t>, part</w:t>
      </w:r>
      <w:r>
        <w:rPr>
          <w:rFonts w:cs="Arial"/>
          <w:szCs w:val="20"/>
        </w:rPr>
        <w:t xml:space="preserve">icularly </w:t>
      </w:r>
      <w:r w:rsidR="00935C6C">
        <w:rPr>
          <w:rFonts w:cs="Arial"/>
          <w:szCs w:val="20"/>
        </w:rPr>
        <w:t xml:space="preserve">for </w:t>
      </w:r>
      <w:r>
        <w:rPr>
          <w:rFonts w:cs="Arial"/>
          <w:szCs w:val="20"/>
        </w:rPr>
        <w:t>those producing higher-</w:t>
      </w:r>
      <w:r w:rsidR="005C2237">
        <w:rPr>
          <w:rFonts w:cs="Arial"/>
          <w:szCs w:val="20"/>
        </w:rPr>
        <w:t xml:space="preserve">risk products </w:t>
      </w:r>
      <w:r w:rsidR="005C2237" w:rsidRPr="00C9669D">
        <w:rPr>
          <w:rFonts w:cs="Arial"/>
          <w:szCs w:val="20"/>
        </w:rPr>
        <w:t>operat</w:t>
      </w:r>
      <w:r w:rsidR="005C2237">
        <w:rPr>
          <w:rFonts w:cs="Arial"/>
          <w:szCs w:val="20"/>
        </w:rPr>
        <w:t>ing</w:t>
      </w:r>
      <w:r w:rsidR="005C2237" w:rsidRPr="00C9669D">
        <w:rPr>
          <w:rFonts w:cs="Arial"/>
          <w:szCs w:val="20"/>
        </w:rPr>
        <w:t xml:space="preserve"> without an industry scheme.</w:t>
      </w:r>
    </w:p>
    <w:p w14:paraId="2B89B69D" w14:textId="01F1CEB7" w:rsidR="001E7278" w:rsidRDefault="001A5D34" w:rsidP="00443C43">
      <w:pPr>
        <w:pStyle w:val="ListParagraph"/>
        <w:widowControl/>
        <w:numPr>
          <w:ilvl w:val="0"/>
          <w:numId w:val="6"/>
        </w:numPr>
      </w:pPr>
      <w:r>
        <w:t>A ‘one size fits all’</w:t>
      </w:r>
      <w:r w:rsidR="001E7278">
        <w:t xml:space="preserve"> regulatory approach was considered problematic to develop and deliver</w:t>
      </w:r>
      <w:r>
        <w:t>.</w:t>
      </w:r>
    </w:p>
    <w:p w14:paraId="5D2F7D39" w14:textId="59D395FD" w:rsidR="001E7278" w:rsidRDefault="001A5D34" w:rsidP="00443C43">
      <w:pPr>
        <w:pStyle w:val="ListParagraph"/>
        <w:widowControl/>
        <w:numPr>
          <w:ilvl w:val="0"/>
          <w:numId w:val="6"/>
        </w:numPr>
      </w:pPr>
      <w:r>
        <w:t>A</w:t>
      </w:r>
      <w:r w:rsidR="001E7278">
        <w:t xml:space="preserve"> regulatory approach did not present the most effective approach to </w:t>
      </w:r>
      <w:r w:rsidR="00935C6C">
        <w:t xml:space="preserve">manage food safety </w:t>
      </w:r>
      <w:r w:rsidR="001E7278">
        <w:t>risk</w:t>
      </w:r>
      <w:r w:rsidR="00935C6C">
        <w:t>s</w:t>
      </w:r>
      <w:r>
        <w:t>.</w:t>
      </w:r>
    </w:p>
    <w:p w14:paraId="4AECE62A" w14:textId="77777777" w:rsidR="00DA054C" w:rsidRDefault="00DA054C" w:rsidP="00935C6C">
      <w:pPr>
        <w:widowControl/>
      </w:pPr>
    </w:p>
    <w:p w14:paraId="5D14EF19" w14:textId="5FF5585B" w:rsidR="00DA054C" w:rsidRDefault="00935C6C" w:rsidP="00935C6C">
      <w:pPr>
        <w:widowControl/>
      </w:pPr>
      <w:r>
        <w:t xml:space="preserve">Amendments to the Code did not go ahead. P1015 was abandoned in 2014 in favour of </w:t>
      </w:r>
      <w:r w:rsidR="009732DC">
        <w:t>developing other measures</w:t>
      </w:r>
      <w:r w:rsidR="00DA054C">
        <w:t>. Reasons included:</w:t>
      </w:r>
    </w:p>
    <w:p w14:paraId="135A490B" w14:textId="464FD4BF" w:rsidR="00DA054C" w:rsidRDefault="00B25ACE" w:rsidP="00443C43">
      <w:pPr>
        <w:pStyle w:val="ListParagraph"/>
        <w:widowControl/>
        <w:numPr>
          <w:ilvl w:val="0"/>
          <w:numId w:val="6"/>
        </w:numPr>
      </w:pPr>
      <w:r>
        <w:t>T</w:t>
      </w:r>
      <w:r w:rsidR="00DA054C">
        <w:t>here was no uniform support for developing a Standard</w:t>
      </w:r>
      <w:r>
        <w:t>.</w:t>
      </w:r>
    </w:p>
    <w:p w14:paraId="25D47ABB" w14:textId="4B4C2872" w:rsidR="00DA054C" w:rsidRDefault="00B25ACE" w:rsidP="00443C43">
      <w:pPr>
        <w:pStyle w:val="ListParagraph"/>
        <w:widowControl/>
        <w:numPr>
          <w:ilvl w:val="0"/>
          <w:numId w:val="6"/>
        </w:numPr>
      </w:pPr>
      <w:r>
        <w:t>A</w:t>
      </w:r>
      <w:r w:rsidR="00DA054C">
        <w:t xml:space="preserve"> deeper understanding of the nature (and type of commodity grown)</w:t>
      </w:r>
      <w:r w:rsidR="00A560F0">
        <w:t>,</w:t>
      </w:r>
      <w:r w:rsidR="00DA054C">
        <w:t xml:space="preserve"> or number of horticultural businesses that are operating without an industry quality assurance/food safety system should be determined</w:t>
      </w:r>
      <w:r>
        <w:t>.</w:t>
      </w:r>
      <w:r w:rsidR="00DA054C">
        <w:t xml:space="preserve"> </w:t>
      </w:r>
    </w:p>
    <w:p w14:paraId="1EC48FFB" w14:textId="077FE81D" w:rsidR="00DA054C" w:rsidRDefault="00B25ACE" w:rsidP="00443C43">
      <w:pPr>
        <w:pStyle w:val="ListParagraph"/>
        <w:widowControl/>
        <w:numPr>
          <w:ilvl w:val="0"/>
          <w:numId w:val="6"/>
        </w:numPr>
      </w:pPr>
      <w:r>
        <w:t>Support</w:t>
      </w:r>
      <w:r w:rsidR="008315AF">
        <w:t xml:space="preserve"> for</w:t>
      </w:r>
      <w:r>
        <w:t xml:space="preserve"> a</w:t>
      </w:r>
      <w:r w:rsidR="00DA054C">
        <w:t xml:space="preserve"> collaborative approach involving the horticulture industry and </w:t>
      </w:r>
      <w:r w:rsidR="007F772C">
        <w:t xml:space="preserve">state and territory </w:t>
      </w:r>
      <w:r w:rsidR="00DA054C">
        <w:t>government</w:t>
      </w:r>
      <w:r w:rsidR="007F772C">
        <w:t>s</w:t>
      </w:r>
      <w:r w:rsidR="00DA054C">
        <w:t xml:space="preserve"> to develop, as appropriate, targeted guidance, codes of practice, educative materials and training</w:t>
      </w:r>
      <w:r>
        <w:t>.</w:t>
      </w:r>
    </w:p>
    <w:p w14:paraId="75D444EE" w14:textId="21E978C8" w:rsidR="00DA054C" w:rsidRDefault="00B25ACE" w:rsidP="00443C43">
      <w:pPr>
        <w:pStyle w:val="ListParagraph"/>
        <w:widowControl/>
        <w:numPr>
          <w:ilvl w:val="0"/>
          <w:numId w:val="6"/>
        </w:numPr>
      </w:pPr>
      <w:r>
        <w:t>T</w:t>
      </w:r>
      <w:r w:rsidR="00DA054C" w:rsidRPr="00EA0F7A">
        <w:t>he broader issue of ensuring through</w:t>
      </w:r>
      <w:r w:rsidR="00DA054C">
        <w:t>-</w:t>
      </w:r>
      <w:r w:rsidR="00DA054C" w:rsidRPr="00EA0F7A">
        <w:t>chain traceability for all commodities</w:t>
      </w:r>
      <w:r w:rsidR="00DA054C">
        <w:t xml:space="preserve"> </w:t>
      </w:r>
      <w:r w:rsidR="00DA054C" w:rsidRPr="00EA0F7A">
        <w:t>needs to be addressed</w:t>
      </w:r>
      <w:r w:rsidR="00DA054C">
        <w:t>.</w:t>
      </w:r>
    </w:p>
    <w:p w14:paraId="58E8D71B" w14:textId="7A181008" w:rsidR="00935C6C" w:rsidRPr="00935C6C" w:rsidRDefault="00017F5F" w:rsidP="00935C6C">
      <w:pPr>
        <w:pStyle w:val="Heading2"/>
      </w:pPr>
      <w:bookmarkStart w:id="59" w:name="_Toc27667538"/>
      <w:bookmarkStart w:id="60" w:name="_Toc28953759"/>
      <w:bookmarkStart w:id="61" w:name="_Toc29288653"/>
      <w:bookmarkStart w:id="62" w:name="_Toc29998531"/>
      <w:r w:rsidRPr="00017F5F">
        <w:t>2.</w:t>
      </w:r>
      <w:r w:rsidR="008B6C00">
        <w:t>2</w:t>
      </w:r>
      <w:r w:rsidRPr="00017F5F">
        <w:tab/>
      </w:r>
      <w:r w:rsidR="0045469D">
        <w:t>A</w:t>
      </w:r>
      <w:r w:rsidR="00D817F6">
        <w:t>ctivities</w:t>
      </w:r>
      <w:r w:rsidR="00D817F6" w:rsidRPr="00017F5F">
        <w:t xml:space="preserve"> </w:t>
      </w:r>
      <w:r w:rsidRPr="00017F5F">
        <w:t>since</w:t>
      </w:r>
      <w:r w:rsidR="005C2237" w:rsidRPr="00017F5F">
        <w:t xml:space="preserve"> 2014</w:t>
      </w:r>
      <w:bookmarkEnd w:id="59"/>
      <w:bookmarkEnd w:id="60"/>
      <w:bookmarkEnd w:id="61"/>
      <w:bookmarkEnd w:id="62"/>
    </w:p>
    <w:p w14:paraId="35082673" w14:textId="2A563991" w:rsidR="00A76600" w:rsidRDefault="00A76600" w:rsidP="00A76600">
      <w:r>
        <w:t>A range of a</w:t>
      </w:r>
      <w:r w:rsidRPr="00BF7756">
        <w:t>ctivit</w:t>
      </w:r>
      <w:r>
        <w:t xml:space="preserve">ies in the horticulture </w:t>
      </w:r>
      <w:r w:rsidR="00A90400">
        <w:t xml:space="preserve">industry and its governance </w:t>
      </w:r>
      <w:r>
        <w:t xml:space="preserve">has continued since </w:t>
      </w:r>
      <w:r w:rsidRPr="00BF7756">
        <w:t>P1015</w:t>
      </w:r>
      <w:r>
        <w:t xml:space="preserve"> was abandoned. Within the food regulatory system, </w:t>
      </w:r>
      <w:r w:rsidR="00D817F6">
        <w:t>these</w:t>
      </w:r>
      <w:r>
        <w:t xml:space="preserve"> include consultations with the horticulture industry and considerations by </w:t>
      </w:r>
      <w:r w:rsidR="0039257B">
        <w:t xml:space="preserve">the </w:t>
      </w:r>
      <w:r>
        <w:t>F</w:t>
      </w:r>
      <w:r w:rsidR="003E1F7E">
        <w:t xml:space="preserve">ood </w:t>
      </w:r>
      <w:r>
        <w:t>R</w:t>
      </w:r>
      <w:r w:rsidR="003E1F7E">
        <w:t xml:space="preserve">egulation </w:t>
      </w:r>
      <w:r>
        <w:t>S</w:t>
      </w:r>
      <w:r w:rsidR="003E1F7E">
        <w:t xml:space="preserve">tanding </w:t>
      </w:r>
      <w:r>
        <w:t>C</w:t>
      </w:r>
      <w:r w:rsidR="003E1F7E">
        <w:t>ommittee (FRSC)</w:t>
      </w:r>
      <w:r>
        <w:t xml:space="preserve">, leading to the current ministerial request to FSANZ. The main themes and decision points are summarised below. </w:t>
      </w:r>
    </w:p>
    <w:p w14:paraId="14B7EAAA" w14:textId="77777777" w:rsidR="00A76600" w:rsidRDefault="00A76600" w:rsidP="00A76600"/>
    <w:p w14:paraId="6EB229E9" w14:textId="56C8D554" w:rsidR="00A76600" w:rsidRDefault="00A76600" w:rsidP="00A76600">
      <w:r>
        <w:t xml:space="preserve">Outside the food regulatory system, activities have included developing </w:t>
      </w:r>
      <w:r w:rsidR="00D817F6">
        <w:t xml:space="preserve">guidance for </w:t>
      </w:r>
      <w:r>
        <w:t>farmers’ market</w:t>
      </w:r>
      <w:r w:rsidR="00D817F6">
        <w:t>s</w:t>
      </w:r>
      <w:r w:rsidR="003E1F7E">
        <w:rPr>
          <w:rStyle w:val="FootnoteReference"/>
        </w:rPr>
        <w:footnoteReference w:id="8"/>
      </w:r>
      <w:r w:rsidR="00A560F0">
        <w:t xml:space="preserve"> and </w:t>
      </w:r>
      <w:r w:rsidR="001B289B">
        <w:t xml:space="preserve">codes of practice, </w:t>
      </w:r>
      <w:r>
        <w:t>improving</w:t>
      </w:r>
      <w:r w:rsidR="00683B31">
        <w:t>/consolidating</w:t>
      </w:r>
      <w:r>
        <w:t xml:space="preserve"> industry food safety schemes </w:t>
      </w:r>
      <w:r w:rsidR="003E1F7E">
        <w:t xml:space="preserve">(HARPS, discussed in </w:t>
      </w:r>
      <w:r w:rsidR="00DA53DE">
        <w:t xml:space="preserve">section </w:t>
      </w:r>
      <w:r w:rsidR="00A047C6">
        <w:t>4.2.1</w:t>
      </w:r>
      <w:r w:rsidR="00DA53DE">
        <w:t xml:space="preserve"> and </w:t>
      </w:r>
      <w:r w:rsidR="003E1F7E">
        <w:t xml:space="preserve">SD2) </w:t>
      </w:r>
      <w:r>
        <w:t>and establishing the Fresh Produce Safety Centre</w:t>
      </w:r>
      <w:r w:rsidR="00A64582">
        <w:t xml:space="preserve"> Australia and New Zealand (FPSC A-NZ)</w:t>
      </w:r>
      <w:r w:rsidR="00A64582">
        <w:rPr>
          <w:rStyle w:val="FootnoteReference"/>
        </w:rPr>
        <w:footnoteReference w:id="9"/>
      </w:r>
      <w:r w:rsidRPr="00A76600">
        <w:t xml:space="preserve">. </w:t>
      </w:r>
    </w:p>
    <w:p w14:paraId="106A6844" w14:textId="253F5A17" w:rsidR="00267330" w:rsidRPr="00267330" w:rsidRDefault="00267330" w:rsidP="00A76600">
      <w:pPr>
        <w:pStyle w:val="Heading3"/>
      </w:pPr>
      <w:bookmarkStart w:id="63" w:name="_Toc27667539"/>
      <w:bookmarkStart w:id="64" w:name="_Toc28953760"/>
      <w:bookmarkStart w:id="65" w:name="_Toc29288654"/>
      <w:bookmarkStart w:id="66" w:name="_Toc29998532"/>
      <w:r>
        <w:lastRenderedPageBreak/>
        <w:t>2</w:t>
      </w:r>
      <w:bookmarkEnd w:id="63"/>
      <w:r>
        <w:t>.</w:t>
      </w:r>
      <w:r w:rsidR="008B6C00">
        <w:t>2</w:t>
      </w:r>
      <w:r>
        <w:t>.1</w:t>
      </w:r>
      <w:r>
        <w:tab/>
      </w:r>
      <w:r w:rsidR="00844688">
        <w:t>S</w:t>
      </w:r>
      <w:r w:rsidR="00683B31">
        <w:t>takeholder consultations</w:t>
      </w:r>
      <w:bookmarkEnd w:id="64"/>
      <w:bookmarkEnd w:id="65"/>
      <w:bookmarkEnd w:id="66"/>
    </w:p>
    <w:p w14:paraId="4F08B666" w14:textId="77777777" w:rsidR="00D817F6" w:rsidRDefault="00D817F6" w:rsidP="00D817F6">
      <w:r>
        <w:t xml:space="preserve">In 2015, a FRSC working group examined the horticulture sector, including imports and general risk factors, and proposed policy options for food safety management. FRSC agreed further work was needed to address knowledge and evidence gaps, including targeted consultation. </w:t>
      </w:r>
    </w:p>
    <w:p w14:paraId="043E7EEA" w14:textId="77777777" w:rsidR="00A76600" w:rsidRDefault="00A76600" w:rsidP="001E7278"/>
    <w:p w14:paraId="1FDD7128" w14:textId="00CD223C" w:rsidR="001E7278" w:rsidRDefault="0020498A" w:rsidP="001E7278">
      <w:pPr>
        <w:rPr>
          <w:snapToGrid w:val="0"/>
        </w:rPr>
      </w:pPr>
      <w:bookmarkStart w:id="67" w:name="_Toc27667540"/>
      <w:r>
        <w:t>C</w:t>
      </w:r>
      <w:bookmarkEnd w:id="67"/>
      <w:r w:rsidR="001E7278">
        <w:rPr>
          <w:snapToGrid w:val="0"/>
        </w:rPr>
        <w:t xml:space="preserve">onsultations </w:t>
      </w:r>
      <w:r>
        <w:rPr>
          <w:snapToGrid w:val="0"/>
        </w:rPr>
        <w:t xml:space="preserve">held </w:t>
      </w:r>
      <w:r w:rsidR="00457FDD">
        <w:rPr>
          <w:snapToGrid w:val="0"/>
        </w:rPr>
        <w:t xml:space="preserve">in early 2016 </w:t>
      </w:r>
      <w:r>
        <w:rPr>
          <w:snapToGrid w:val="0"/>
        </w:rPr>
        <w:t>between jurisdictions and</w:t>
      </w:r>
      <w:r w:rsidR="001E7278">
        <w:rPr>
          <w:snapToGrid w:val="0"/>
        </w:rPr>
        <w:t xml:space="preserve"> the horticulture sector</w:t>
      </w:r>
      <w:r>
        <w:rPr>
          <w:snapToGrid w:val="0"/>
        </w:rPr>
        <w:t xml:space="preserve"> brought out k</w:t>
      </w:r>
      <w:r w:rsidR="00037685">
        <w:rPr>
          <w:snapToGrid w:val="0"/>
        </w:rPr>
        <w:t>ey</w:t>
      </w:r>
      <w:r w:rsidR="001E7278">
        <w:rPr>
          <w:snapToGrid w:val="0"/>
        </w:rPr>
        <w:t xml:space="preserve"> themes </w:t>
      </w:r>
      <w:r w:rsidR="00935C6C">
        <w:rPr>
          <w:snapToGrid w:val="0"/>
        </w:rPr>
        <w:t>related to</w:t>
      </w:r>
      <w:r w:rsidR="001E7278">
        <w:rPr>
          <w:snapToGrid w:val="0"/>
        </w:rPr>
        <w:t xml:space="preserve"> food safety:</w:t>
      </w:r>
    </w:p>
    <w:p w14:paraId="0D4AD185" w14:textId="4F13442A" w:rsidR="001E7278" w:rsidRDefault="001E7278" w:rsidP="00443C43">
      <w:pPr>
        <w:pStyle w:val="FSBullet"/>
        <w:numPr>
          <w:ilvl w:val="0"/>
          <w:numId w:val="4"/>
        </w:numPr>
        <w:rPr>
          <w:lang w:eastAsia="en-AU"/>
        </w:rPr>
      </w:pPr>
      <w:r>
        <w:rPr>
          <w:lang w:eastAsia="en-AU"/>
        </w:rPr>
        <w:t xml:space="preserve">Engagement and information sharing – </w:t>
      </w:r>
      <w:r w:rsidR="009417FA">
        <w:rPr>
          <w:lang w:eastAsia="en-AU"/>
        </w:rPr>
        <w:t>o</w:t>
      </w:r>
      <w:r>
        <w:rPr>
          <w:lang w:eastAsia="en-AU"/>
        </w:rPr>
        <w:t xml:space="preserve">ngoing, regular engagement and </w:t>
      </w:r>
      <w:r w:rsidR="00BF7756">
        <w:rPr>
          <w:lang w:eastAsia="en-AU"/>
        </w:rPr>
        <w:t>communication</w:t>
      </w:r>
      <w:r>
        <w:rPr>
          <w:lang w:eastAsia="en-AU"/>
        </w:rPr>
        <w:t xml:space="preserve"> </w:t>
      </w:r>
      <w:r w:rsidR="00BF7756">
        <w:rPr>
          <w:lang w:eastAsia="en-AU"/>
        </w:rPr>
        <w:t xml:space="preserve">is needed </w:t>
      </w:r>
      <w:r>
        <w:rPr>
          <w:lang w:eastAsia="en-AU"/>
        </w:rPr>
        <w:t xml:space="preserve">between regulators and industry about food safety and why it matters. A </w:t>
      </w:r>
      <w:r w:rsidR="00BF7756">
        <w:rPr>
          <w:lang w:eastAsia="en-AU"/>
        </w:rPr>
        <w:t>major</w:t>
      </w:r>
      <w:r>
        <w:rPr>
          <w:lang w:eastAsia="en-AU"/>
        </w:rPr>
        <w:t xml:space="preserve"> challenge </w:t>
      </w:r>
      <w:r w:rsidR="00DA53DE">
        <w:rPr>
          <w:lang w:eastAsia="en-AU"/>
        </w:rPr>
        <w:t>is</w:t>
      </w:r>
      <w:r>
        <w:rPr>
          <w:lang w:eastAsia="en-AU"/>
        </w:rPr>
        <w:t xml:space="preserve"> the large number of peak bodies in the fresh produce sector and the lack of a single collective industry voice.</w:t>
      </w:r>
    </w:p>
    <w:p w14:paraId="0A549876" w14:textId="1B722078" w:rsidR="001E7278" w:rsidRDefault="009417FA" w:rsidP="00443C43">
      <w:pPr>
        <w:pStyle w:val="FSBullet"/>
        <w:numPr>
          <w:ilvl w:val="0"/>
          <w:numId w:val="4"/>
        </w:numPr>
        <w:rPr>
          <w:lang w:eastAsia="en-AU"/>
        </w:rPr>
      </w:pPr>
      <w:r>
        <w:rPr>
          <w:lang w:eastAsia="en-AU"/>
        </w:rPr>
        <w:t>Awareness and education – g</w:t>
      </w:r>
      <w:r w:rsidR="001E7278">
        <w:rPr>
          <w:lang w:eastAsia="en-AU"/>
        </w:rPr>
        <w:t xml:space="preserve">reater attention </w:t>
      </w:r>
      <w:r w:rsidR="00D47175">
        <w:rPr>
          <w:lang w:eastAsia="en-AU"/>
        </w:rPr>
        <w:t>on</w:t>
      </w:r>
      <w:r w:rsidR="0020498A">
        <w:rPr>
          <w:lang w:eastAsia="en-AU"/>
        </w:rPr>
        <w:t xml:space="preserve"> food safety risk </w:t>
      </w:r>
      <w:r w:rsidR="001E7278">
        <w:rPr>
          <w:lang w:eastAsia="en-AU"/>
        </w:rPr>
        <w:t xml:space="preserve">is </w:t>
      </w:r>
      <w:r w:rsidR="00D47175">
        <w:rPr>
          <w:lang w:eastAsia="en-AU"/>
        </w:rPr>
        <w:t>needed</w:t>
      </w:r>
      <w:r w:rsidR="001E7278">
        <w:rPr>
          <w:lang w:eastAsia="en-AU"/>
        </w:rPr>
        <w:t xml:space="preserve"> </w:t>
      </w:r>
      <w:r w:rsidR="00D47175">
        <w:rPr>
          <w:lang w:eastAsia="en-AU"/>
        </w:rPr>
        <w:t>when</w:t>
      </w:r>
      <w:r w:rsidR="001E7278">
        <w:rPr>
          <w:lang w:eastAsia="en-AU"/>
        </w:rPr>
        <w:t xml:space="preserve"> </w:t>
      </w:r>
      <w:r w:rsidR="00D47175">
        <w:rPr>
          <w:lang w:eastAsia="en-AU"/>
        </w:rPr>
        <w:t xml:space="preserve">developing </w:t>
      </w:r>
      <w:r w:rsidR="001E7278">
        <w:rPr>
          <w:lang w:eastAsia="en-AU"/>
        </w:rPr>
        <w:t xml:space="preserve">awareness, education and skills of workers along the supply chain. </w:t>
      </w:r>
    </w:p>
    <w:p w14:paraId="6A69A2BC" w14:textId="7AE64386" w:rsidR="001E7278" w:rsidRPr="009676C6" w:rsidRDefault="001E7278" w:rsidP="00443C43">
      <w:pPr>
        <w:pStyle w:val="FSBullet"/>
        <w:numPr>
          <w:ilvl w:val="0"/>
          <w:numId w:val="4"/>
        </w:numPr>
        <w:rPr>
          <w:snapToGrid w:val="0"/>
          <w:szCs w:val="22"/>
        </w:rPr>
      </w:pPr>
      <w:r>
        <w:rPr>
          <w:lang w:eastAsia="en-AU"/>
        </w:rPr>
        <w:t>T</w:t>
      </w:r>
      <w:r w:rsidR="009417FA">
        <w:rPr>
          <w:lang w:eastAsia="en-AU"/>
        </w:rPr>
        <w:t>raceability and supply chain – i</w:t>
      </w:r>
      <w:r w:rsidR="00D47175">
        <w:rPr>
          <w:lang w:eastAsia="en-AU"/>
        </w:rPr>
        <w:t>t is d</w:t>
      </w:r>
      <w:r>
        <w:rPr>
          <w:lang w:eastAsia="en-AU"/>
        </w:rPr>
        <w:t>ifficult</w:t>
      </w:r>
      <w:r w:rsidR="00D47175">
        <w:rPr>
          <w:lang w:eastAsia="en-AU"/>
        </w:rPr>
        <w:t xml:space="preserve"> to quickly identify and quantify</w:t>
      </w:r>
      <w:r>
        <w:rPr>
          <w:lang w:eastAsia="en-AU"/>
        </w:rPr>
        <w:t xml:space="preserve"> the supply chain, including tracing product, which is particularly important during incident management.</w:t>
      </w:r>
    </w:p>
    <w:p w14:paraId="65ADBDBB" w14:textId="4D53EAE4" w:rsidR="00F064DE" w:rsidRPr="00FD36F3" w:rsidRDefault="001E7278" w:rsidP="00443C43">
      <w:pPr>
        <w:pStyle w:val="FSBullet"/>
        <w:numPr>
          <w:ilvl w:val="0"/>
          <w:numId w:val="4"/>
        </w:numPr>
        <w:rPr>
          <w:lang w:eastAsia="en-AU"/>
        </w:rPr>
      </w:pPr>
      <w:r>
        <w:rPr>
          <w:lang w:eastAsia="en-AU"/>
        </w:rPr>
        <w:t xml:space="preserve">Government monitoring – </w:t>
      </w:r>
      <w:r w:rsidR="009417FA">
        <w:rPr>
          <w:lang w:eastAsia="en-AU"/>
        </w:rPr>
        <w:t>i</w:t>
      </w:r>
      <w:r w:rsidR="0023555A">
        <w:rPr>
          <w:lang w:eastAsia="en-AU"/>
        </w:rPr>
        <w:t>ndustry expects</w:t>
      </w:r>
      <w:r>
        <w:rPr>
          <w:lang w:eastAsia="en-AU"/>
        </w:rPr>
        <w:t xml:space="preserve"> that government will monitor the fresh produce sector to verify effective management of food safety.</w:t>
      </w:r>
      <w:bookmarkStart w:id="68" w:name="_Toc5718265"/>
      <w:bookmarkStart w:id="69" w:name="_Toc7447712"/>
      <w:bookmarkEnd w:id="58"/>
      <w:bookmarkEnd w:id="68"/>
      <w:bookmarkEnd w:id="69"/>
    </w:p>
    <w:p w14:paraId="4EE640B2" w14:textId="13E711DB" w:rsidR="00BE52A0" w:rsidRPr="00BE52A0" w:rsidRDefault="008B6C00" w:rsidP="001B289B">
      <w:pPr>
        <w:pStyle w:val="Heading3"/>
        <w:keepLines/>
      </w:pPr>
      <w:bookmarkStart w:id="70" w:name="_Toc28953761"/>
      <w:bookmarkStart w:id="71" w:name="_Toc29288655"/>
      <w:bookmarkStart w:id="72" w:name="_Toc29998533"/>
      <w:bookmarkStart w:id="73" w:name="_Toc27667541"/>
      <w:r>
        <w:t>2.2</w:t>
      </w:r>
      <w:r w:rsidR="00BE52A0" w:rsidRPr="00BE52A0">
        <w:t>.2</w:t>
      </w:r>
      <w:r w:rsidR="00BE52A0" w:rsidRPr="00BE52A0">
        <w:tab/>
        <w:t>FRSC considerations</w:t>
      </w:r>
      <w:bookmarkEnd w:id="70"/>
      <w:bookmarkEnd w:id="71"/>
      <w:bookmarkEnd w:id="72"/>
    </w:p>
    <w:p w14:paraId="69622969" w14:textId="6AACB5E0" w:rsidR="00844688" w:rsidRPr="00C93523" w:rsidRDefault="00683B31" w:rsidP="001B289B">
      <w:pPr>
        <w:keepNext/>
        <w:keepLines/>
      </w:pPr>
      <w:r w:rsidRPr="00C93523">
        <w:t>F</w:t>
      </w:r>
      <w:bookmarkEnd w:id="73"/>
      <w:r w:rsidRPr="00C93523">
        <w:t>RSC noted the consultation</w:t>
      </w:r>
      <w:r w:rsidR="00BE52A0" w:rsidRPr="00C93523">
        <w:t xml:space="preserve"> outcomes</w:t>
      </w:r>
      <w:r w:rsidRPr="00C93523">
        <w:t xml:space="preserve"> </w:t>
      </w:r>
      <w:r w:rsidR="0039257B">
        <w:t xml:space="preserve">(above) </w:t>
      </w:r>
      <w:r w:rsidRPr="00C93523">
        <w:t xml:space="preserve">and that jurisdictions and FSANZ would continue engaging with industry on improving incident response. </w:t>
      </w:r>
    </w:p>
    <w:p w14:paraId="154A87DE" w14:textId="77777777" w:rsidR="00844688" w:rsidRPr="00C93523" w:rsidRDefault="00844688" w:rsidP="001B289B">
      <w:pPr>
        <w:keepNext/>
        <w:keepLines/>
      </w:pPr>
    </w:p>
    <w:p w14:paraId="2D6089BB" w14:textId="02C24658" w:rsidR="00A7708C" w:rsidRPr="00C93523" w:rsidRDefault="00A7708C" w:rsidP="00F064DE">
      <w:r w:rsidRPr="00C93523">
        <w:t xml:space="preserve">Following </w:t>
      </w:r>
      <w:r w:rsidR="00683B31" w:rsidRPr="00C93523">
        <w:t xml:space="preserve">a </w:t>
      </w:r>
      <w:r w:rsidR="00683B31" w:rsidRPr="00C93523">
        <w:rPr>
          <w:i/>
        </w:rPr>
        <w:t>Salmonella</w:t>
      </w:r>
      <w:r w:rsidR="00683B31" w:rsidRPr="00C93523">
        <w:t xml:space="preserve"> outbreak</w:t>
      </w:r>
      <w:r w:rsidRPr="00C93523">
        <w:t xml:space="preserve"> </w:t>
      </w:r>
      <w:r w:rsidR="00457FDD" w:rsidRPr="00C93523">
        <w:t>involving mixed leaf lettuce</w:t>
      </w:r>
      <w:r w:rsidRPr="00C93523">
        <w:t xml:space="preserve">, </w:t>
      </w:r>
      <w:r w:rsidR="00844688" w:rsidRPr="00C93523">
        <w:t>Victoria</w:t>
      </w:r>
      <w:r w:rsidR="00115F74" w:rsidRPr="00C93523">
        <w:t xml:space="preserve"> </w:t>
      </w:r>
      <w:r w:rsidR="00844688" w:rsidRPr="00C93523">
        <w:t>presented two reports</w:t>
      </w:r>
      <w:r w:rsidR="00CE710C" w:rsidRPr="00C93523">
        <w:t xml:space="preserve"> in late 2016</w:t>
      </w:r>
      <w:r w:rsidR="00844688" w:rsidRPr="00C93523">
        <w:t xml:space="preserve"> on food safety risks in the production and processing </w:t>
      </w:r>
      <w:r w:rsidR="00D817F6" w:rsidRPr="00C93523">
        <w:t xml:space="preserve">of </w:t>
      </w:r>
      <w:r w:rsidR="00844688" w:rsidRPr="00C93523">
        <w:t xml:space="preserve">leafy greens. </w:t>
      </w:r>
      <w:r w:rsidR="00D817F6" w:rsidRPr="00C93523">
        <w:t xml:space="preserve">Subsequent </w:t>
      </w:r>
      <w:r w:rsidR="00844688" w:rsidRPr="00C93523">
        <w:t xml:space="preserve">FRSC roundtable discussions </w:t>
      </w:r>
      <w:r w:rsidR="00D817F6" w:rsidRPr="00C93523">
        <w:t xml:space="preserve">in 2017 </w:t>
      </w:r>
      <w:r w:rsidRPr="00C93523">
        <w:t xml:space="preserve">looked at horticulture food safety issues from different perspectives (primary producers, processors and distributers, retail and food service, food regulators). </w:t>
      </w:r>
      <w:r w:rsidR="00D817F6" w:rsidRPr="00C93523">
        <w:t>T</w:t>
      </w:r>
      <w:r w:rsidRPr="00C93523">
        <w:t>he need for education, using technology as an aid, and working collaboratively</w:t>
      </w:r>
      <w:r w:rsidR="00D817F6" w:rsidRPr="00C93523">
        <w:t xml:space="preserve"> were identified as key themes</w:t>
      </w:r>
      <w:r w:rsidRPr="00C93523">
        <w:t>.</w:t>
      </w:r>
    </w:p>
    <w:p w14:paraId="7E178DE5" w14:textId="77777777" w:rsidR="00A7708C" w:rsidRPr="00C93523" w:rsidRDefault="00A7708C" w:rsidP="00F064DE"/>
    <w:p w14:paraId="46DAFDCB" w14:textId="5E33D29D" w:rsidR="001A14CA" w:rsidRPr="00C93523" w:rsidRDefault="00A7708C" w:rsidP="00F064DE">
      <w:pPr>
        <w:rPr>
          <w:lang w:bidi="ar-SA"/>
        </w:rPr>
      </w:pPr>
      <w:r w:rsidRPr="00C93523">
        <w:t>In 2018,</w:t>
      </w:r>
      <w:r w:rsidR="0023555A" w:rsidRPr="00C93523">
        <w:t xml:space="preserve"> further foodborne illness outbreak</w:t>
      </w:r>
      <w:r w:rsidR="00D763BE" w:rsidRPr="00C93523">
        <w:t>s</w:t>
      </w:r>
      <w:r w:rsidR="0023555A" w:rsidRPr="00C93523">
        <w:t xml:space="preserve"> prompted FRSC to reassess food safety management measures for horticulture. Five high-risk sectors were identified for immediate focus</w:t>
      </w:r>
      <w:r w:rsidR="00D763BE" w:rsidRPr="00C93523">
        <w:t xml:space="preserve"> (aligning with Codex)</w:t>
      </w:r>
      <w:r w:rsidR="0023555A" w:rsidRPr="00C93523">
        <w:t>: ready-to-eat minimally processed fruits and vegetables, fresh leafy green vegetables, melons, berries and sprouts.</w:t>
      </w:r>
      <w:r w:rsidR="00D763BE" w:rsidRPr="00C93523">
        <w:t xml:space="preserve"> </w:t>
      </w:r>
      <w:r w:rsidR="00D817F6" w:rsidRPr="00C93523">
        <w:t>FRSC</w:t>
      </w:r>
      <w:r w:rsidR="00D763BE" w:rsidRPr="00C93523">
        <w:t xml:space="preserve"> agreed </w:t>
      </w:r>
      <w:r w:rsidR="00BE52A0" w:rsidRPr="00C93523">
        <w:t xml:space="preserve">to advise </w:t>
      </w:r>
      <w:r w:rsidR="009417FA">
        <w:t xml:space="preserve">the </w:t>
      </w:r>
      <w:r w:rsidR="00BE52A0" w:rsidRPr="00C93523">
        <w:t xml:space="preserve">Forum to request FSANZ identify regulatory and non-regulatory measures for these sectors. </w:t>
      </w:r>
      <w:r w:rsidR="009417FA">
        <w:t xml:space="preserve">The </w:t>
      </w:r>
      <w:r w:rsidR="00BE52A0" w:rsidRPr="00C93523">
        <w:t>Forum</w:t>
      </w:r>
      <w:r w:rsidR="009417FA">
        <w:t xml:space="preserve"> </w:t>
      </w:r>
      <w:r w:rsidR="00BE52A0" w:rsidRPr="00C93523">
        <w:lastRenderedPageBreak/>
        <w:t>agreed to the request in June 2018, leading to the current proposal.</w:t>
      </w:r>
    </w:p>
    <w:p w14:paraId="60057311" w14:textId="2A011968" w:rsidR="0045469D" w:rsidRDefault="0045469D" w:rsidP="008B6C00">
      <w:pPr>
        <w:pStyle w:val="Heading2"/>
      </w:pPr>
      <w:bookmarkStart w:id="74" w:name="_Toc29998534"/>
      <w:r>
        <w:t>2.3</w:t>
      </w:r>
      <w:r>
        <w:tab/>
        <w:t xml:space="preserve"> </w:t>
      </w:r>
      <w:r w:rsidR="007075CA">
        <w:t>Recalls and incidents</w:t>
      </w:r>
      <w:bookmarkEnd w:id="74"/>
    </w:p>
    <w:p w14:paraId="61C455A8" w14:textId="3BB8C1A4" w:rsidR="007075CA" w:rsidRPr="00A25066" w:rsidRDefault="007075CA" w:rsidP="007075CA">
      <w:r w:rsidRPr="00A25066">
        <w:t>FSANZ coordinates food recalls on behalf of state and territory food enforcement agencies. As part of this process, FSANZ collects information from food business</w:t>
      </w:r>
      <w:r w:rsidR="00A25066">
        <w:t>es</w:t>
      </w:r>
      <w:r w:rsidRPr="00A25066">
        <w:t xml:space="preserve"> including </w:t>
      </w:r>
      <w:r w:rsidR="00A25066">
        <w:t>the type of product, reason and root cause analysis</w:t>
      </w:r>
      <w:r w:rsidR="009066BF">
        <w:t xml:space="preserve"> (where undertaken)</w:t>
      </w:r>
      <w:r w:rsidR="00A25066">
        <w:t>.</w:t>
      </w:r>
      <w:r w:rsidRPr="00A25066">
        <w:t xml:space="preserve"> </w:t>
      </w:r>
    </w:p>
    <w:p w14:paraId="36FB4A0A" w14:textId="77777777" w:rsidR="00A25066" w:rsidRPr="00A25066" w:rsidRDefault="00A25066" w:rsidP="007075CA"/>
    <w:p w14:paraId="6C68FBD6" w14:textId="40AFB667" w:rsidR="007075CA" w:rsidRPr="00A25066" w:rsidRDefault="008B6C00" w:rsidP="007075CA">
      <w:r>
        <w:t>R</w:t>
      </w:r>
      <w:r w:rsidR="007075CA" w:rsidRPr="00A25066">
        <w:t>ecall data from 1989 to 2019 show horticulture recalls account for 9% (162/1674)</w:t>
      </w:r>
      <w:r w:rsidR="00C32BB8">
        <w:t xml:space="preserve"> of all recalls</w:t>
      </w:r>
      <w:r w:rsidR="007075CA" w:rsidRPr="00A25066">
        <w:t>, with microbiological contamination the primary reason</w:t>
      </w:r>
      <w:r w:rsidR="009417FA">
        <w:t>, 43%</w:t>
      </w:r>
      <w:r w:rsidR="007075CA" w:rsidRPr="00A25066">
        <w:t xml:space="preserve"> (70/162</w:t>
      </w:r>
      <w:r w:rsidR="009417FA">
        <w:t>)</w:t>
      </w:r>
      <w:r w:rsidR="007075CA" w:rsidRPr="00A25066">
        <w:t xml:space="preserve">. </w:t>
      </w:r>
      <w:r w:rsidR="00A25066" w:rsidRPr="00C32BB8">
        <w:rPr>
          <w:i/>
        </w:rPr>
        <w:t>Listeria monocytogenes</w:t>
      </w:r>
      <w:r w:rsidR="00A25066" w:rsidRPr="00A25066">
        <w:t xml:space="preserve">, </w:t>
      </w:r>
      <w:r w:rsidR="00A25066" w:rsidRPr="00C32BB8">
        <w:rPr>
          <w:i/>
        </w:rPr>
        <w:t>Salmonella</w:t>
      </w:r>
      <w:r w:rsidR="00A25066" w:rsidRPr="00A25066">
        <w:t xml:space="preserve"> spp., </w:t>
      </w:r>
      <w:r w:rsidR="00A25066" w:rsidRPr="00C32BB8">
        <w:rPr>
          <w:i/>
        </w:rPr>
        <w:t>Escherichia coli</w:t>
      </w:r>
      <w:r w:rsidR="00A25066" w:rsidRPr="00A25066">
        <w:t>, viruses (Hepatitis A) and other pathogens were the most common reasons.</w:t>
      </w:r>
      <w:r w:rsidR="00A25066">
        <w:t xml:space="preserve"> </w:t>
      </w:r>
      <w:r>
        <w:t>Recalled f</w:t>
      </w:r>
      <w:r w:rsidR="00A25066">
        <w:t>ood</w:t>
      </w:r>
      <w:r>
        <w:t>s in the</w:t>
      </w:r>
      <w:r w:rsidR="007075CA" w:rsidRPr="00A25066">
        <w:t xml:space="preserve"> </w:t>
      </w:r>
      <w:r>
        <w:t>‘</w:t>
      </w:r>
      <w:r w:rsidR="007075CA" w:rsidRPr="00A25066">
        <w:t>fruit, vegetables and herbs</w:t>
      </w:r>
      <w:r>
        <w:t>’</w:t>
      </w:r>
      <w:r w:rsidR="007075CA" w:rsidRPr="00A25066">
        <w:t xml:space="preserve"> category include</w:t>
      </w:r>
      <w:r w:rsidR="001B289B">
        <w:t>d</w:t>
      </w:r>
      <w:r w:rsidR="007075CA" w:rsidRPr="00A25066">
        <w:t xml:space="preserve"> fruit, sprouts, rockmelon and leafy greens. </w:t>
      </w:r>
    </w:p>
    <w:p w14:paraId="12922DC4" w14:textId="77777777" w:rsidR="007075CA" w:rsidRPr="00A25066" w:rsidRDefault="007075CA" w:rsidP="007075CA"/>
    <w:p w14:paraId="4ECDFF7C" w14:textId="77777777" w:rsidR="005D1C06" w:rsidRDefault="007075CA" w:rsidP="00A25066">
      <w:pPr>
        <w:rPr>
          <w:lang w:val="en-AU"/>
        </w:rPr>
      </w:pPr>
      <w:r>
        <w:rPr>
          <w:lang w:val="en-AU"/>
        </w:rPr>
        <w:t xml:space="preserve">Food recalls </w:t>
      </w:r>
      <w:r w:rsidR="00E82214">
        <w:rPr>
          <w:lang w:val="en-AU"/>
        </w:rPr>
        <w:t>also</w:t>
      </w:r>
      <w:r>
        <w:rPr>
          <w:lang w:val="en-AU"/>
        </w:rPr>
        <w:t xml:space="preserve"> </w:t>
      </w:r>
      <w:r w:rsidR="00E82214">
        <w:rPr>
          <w:lang w:val="en-AU"/>
        </w:rPr>
        <w:t>occur</w:t>
      </w:r>
      <w:r>
        <w:rPr>
          <w:lang w:val="en-AU"/>
        </w:rPr>
        <w:t xml:space="preserve"> as part of a response to a food outbreak or incident</w:t>
      </w:r>
      <w:r w:rsidR="00E82214">
        <w:rPr>
          <w:lang w:val="en-AU"/>
        </w:rPr>
        <w:t xml:space="preserve"> (which may or may not </w:t>
      </w:r>
      <w:r w:rsidR="001B289B">
        <w:rPr>
          <w:lang w:val="en-AU"/>
        </w:rPr>
        <w:t>include both</w:t>
      </w:r>
      <w:r w:rsidR="00E82214">
        <w:rPr>
          <w:lang w:val="en-AU"/>
        </w:rPr>
        <w:t>)</w:t>
      </w:r>
      <w:r>
        <w:rPr>
          <w:lang w:val="en-AU"/>
        </w:rPr>
        <w:t>.</w:t>
      </w:r>
      <w:r w:rsidR="00A25066">
        <w:rPr>
          <w:lang w:val="en-AU"/>
        </w:rPr>
        <w:t xml:space="preserve"> Horticulture products were the only products implicated in national food incidents during the period 2016-2018</w:t>
      </w:r>
      <w:r w:rsidR="005D1C06">
        <w:rPr>
          <w:lang w:val="en-AU"/>
        </w:rPr>
        <w:t xml:space="preserve">. </w:t>
      </w:r>
    </w:p>
    <w:p w14:paraId="2FD19160" w14:textId="5AF6CB9D" w:rsidR="005D1C06" w:rsidRDefault="005D1C06" w:rsidP="00A25066">
      <w:pPr>
        <w:rPr>
          <w:lang w:val="en-AU"/>
        </w:rPr>
      </w:pPr>
    </w:p>
    <w:p w14:paraId="57623E54" w14:textId="0BB2E78A" w:rsidR="00E82214" w:rsidRDefault="005D1C06" w:rsidP="00A25066">
      <w:pPr>
        <w:rPr>
          <w:lang w:val="en-AU"/>
        </w:rPr>
      </w:pPr>
      <w:r>
        <w:rPr>
          <w:lang w:val="en-AU"/>
        </w:rPr>
        <w:t xml:space="preserve">Horticultural produced involved in incidents and/or </w:t>
      </w:r>
      <w:r w:rsidR="004746DC">
        <w:rPr>
          <w:lang w:val="en-AU"/>
        </w:rPr>
        <w:t xml:space="preserve">multi-jurisdictional </w:t>
      </w:r>
      <w:r>
        <w:rPr>
          <w:lang w:val="en-AU"/>
        </w:rPr>
        <w:t>outbreaks for that period included</w:t>
      </w:r>
      <w:r w:rsidR="00A25066">
        <w:rPr>
          <w:lang w:val="en-AU"/>
        </w:rPr>
        <w:t xml:space="preserve">: </w:t>
      </w:r>
    </w:p>
    <w:p w14:paraId="2D4DBC5E" w14:textId="390030F0" w:rsidR="007075CA" w:rsidRDefault="007075CA" w:rsidP="00443C43">
      <w:pPr>
        <w:pStyle w:val="ListParagraph"/>
        <w:widowControl/>
        <w:numPr>
          <w:ilvl w:val="0"/>
          <w:numId w:val="19"/>
        </w:numPr>
        <w:rPr>
          <w:lang w:val="en-AU"/>
        </w:rPr>
      </w:pPr>
      <w:r>
        <w:rPr>
          <w:lang w:val="en-AU"/>
        </w:rPr>
        <w:t xml:space="preserve">2018 – </w:t>
      </w:r>
      <w:r w:rsidRPr="00E82214">
        <w:rPr>
          <w:i/>
          <w:lang w:val="en-AU"/>
        </w:rPr>
        <w:t>Listeria monocytogenes</w:t>
      </w:r>
      <w:r>
        <w:rPr>
          <w:lang w:val="en-AU"/>
        </w:rPr>
        <w:t xml:space="preserve"> in rockmelons. </w:t>
      </w:r>
    </w:p>
    <w:p w14:paraId="28620319" w14:textId="77777777" w:rsidR="007075CA" w:rsidRDefault="007075CA" w:rsidP="00443C43">
      <w:pPr>
        <w:pStyle w:val="ListParagraph"/>
        <w:widowControl/>
        <w:numPr>
          <w:ilvl w:val="0"/>
          <w:numId w:val="19"/>
        </w:numPr>
        <w:rPr>
          <w:lang w:val="en-AU"/>
        </w:rPr>
      </w:pPr>
      <w:r>
        <w:rPr>
          <w:lang w:val="en-AU"/>
        </w:rPr>
        <w:t xml:space="preserve">2018 – Hepatitis A in frozen pomegranate arils </w:t>
      </w:r>
    </w:p>
    <w:p w14:paraId="348E26EF" w14:textId="77777777" w:rsidR="007075CA" w:rsidRDefault="007075CA" w:rsidP="00443C43">
      <w:pPr>
        <w:pStyle w:val="ListParagraph"/>
        <w:widowControl/>
        <w:numPr>
          <w:ilvl w:val="0"/>
          <w:numId w:val="19"/>
        </w:numPr>
        <w:rPr>
          <w:lang w:val="en-AU"/>
        </w:rPr>
      </w:pPr>
      <w:r>
        <w:rPr>
          <w:lang w:val="en-AU"/>
        </w:rPr>
        <w:t>2017 – Hepatitis A in frozen mixed berries</w:t>
      </w:r>
    </w:p>
    <w:p w14:paraId="23FACF0A" w14:textId="77777777" w:rsidR="005D1C06" w:rsidRDefault="007075CA" w:rsidP="005D1C06">
      <w:pPr>
        <w:pStyle w:val="ListParagraph"/>
        <w:widowControl/>
        <w:numPr>
          <w:ilvl w:val="0"/>
          <w:numId w:val="19"/>
        </w:numPr>
        <w:rPr>
          <w:lang w:val="en-AU"/>
        </w:rPr>
      </w:pPr>
      <w:r>
        <w:rPr>
          <w:lang w:val="en-AU"/>
        </w:rPr>
        <w:t xml:space="preserve">2016 – </w:t>
      </w:r>
      <w:r w:rsidRPr="00C32BB8">
        <w:rPr>
          <w:i/>
          <w:lang w:val="en-AU"/>
        </w:rPr>
        <w:t>Salmonella</w:t>
      </w:r>
      <w:r>
        <w:rPr>
          <w:lang w:val="en-AU"/>
        </w:rPr>
        <w:t xml:space="preserve"> in sprouts</w:t>
      </w:r>
    </w:p>
    <w:p w14:paraId="5805562B" w14:textId="71109396" w:rsidR="005D1C06" w:rsidRPr="005D1C06" w:rsidRDefault="007075CA" w:rsidP="005D1C06">
      <w:pPr>
        <w:pStyle w:val="ListParagraph"/>
        <w:widowControl/>
        <w:numPr>
          <w:ilvl w:val="0"/>
          <w:numId w:val="19"/>
        </w:numPr>
        <w:rPr>
          <w:lang w:val="en-AU"/>
        </w:rPr>
      </w:pPr>
      <w:r w:rsidRPr="005D1C06">
        <w:rPr>
          <w:lang w:val="en-AU"/>
        </w:rPr>
        <w:t>2016</w:t>
      </w:r>
      <w:r w:rsidRPr="005D1C06">
        <w:rPr>
          <w:i/>
          <w:lang w:val="en-AU"/>
        </w:rPr>
        <w:t xml:space="preserve"> – Salmonella</w:t>
      </w:r>
      <w:r w:rsidRPr="005D1C06">
        <w:rPr>
          <w:lang w:val="en-AU"/>
        </w:rPr>
        <w:t xml:space="preserve"> in rockmelons</w:t>
      </w:r>
    </w:p>
    <w:p w14:paraId="7EA64CD8" w14:textId="23C1AC8D" w:rsidR="007075CA" w:rsidRPr="005D1C06" w:rsidRDefault="007075CA" w:rsidP="001C3571">
      <w:pPr>
        <w:pStyle w:val="ListParagraph"/>
        <w:widowControl/>
        <w:numPr>
          <w:ilvl w:val="0"/>
          <w:numId w:val="19"/>
        </w:numPr>
        <w:rPr>
          <w:i/>
          <w:lang w:val="en-AU"/>
        </w:rPr>
      </w:pPr>
      <w:r w:rsidRPr="005D1C06">
        <w:rPr>
          <w:i/>
          <w:lang w:val="en-AU"/>
        </w:rPr>
        <w:t xml:space="preserve">2018 – Listeria </w:t>
      </w:r>
      <w:r w:rsidRPr="00A154F8">
        <w:rPr>
          <w:lang w:val="en-AU"/>
        </w:rPr>
        <w:t>in frozen mixed vegetables</w:t>
      </w:r>
      <w:r w:rsidR="00A25066" w:rsidRPr="005D1C06">
        <w:rPr>
          <w:i/>
          <w:lang w:val="en-AU"/>
        </w:rPr>
        <w:t xml:space="preserve"> </w:t>
      </w:r>
    </w:p>
    <w:p w14:paraId="1E71EA9F" w14:textId="2A8C0A86" w:rsidR="007075CA" w:rsidRDefault="007075CA" w:rsidP="00443C43">
      <w:pPr>
        <w:pStyle w:val="ListParagraph"/>
        <w:widowControl/>
        <w:numPr>
          <w:ilvl w:val="0"/>
          <w:numId w:val="20"/>
        </w:numPr>
        <w:rPr>
          <w:lang w:val="en-AU"/>
        </w:rPr>
      </w:pPr>
      <w:r>
        <w:rPr>
          <w:lang w:val="en-AU"/>
        </w:rPr>
        <w:t xml:space="preserve">2016 – </w:t>
      </w:r>
      <w:r w:rsidRPr="00C32BB8">
        <w:rPr>
          <w:i/>
          <w:lang w:val="en-AU"/>
        </w:rPr>
        <w:t>Salmonella</w:t>
      </w:r>
      <w:r>
        <w:rPr>
          <w:lang w:val="en-AU"/>
        </w:rPr>
        <w:t xml:space="preserve"> in mixed lettuce</w:t>
      </w:r>
      <w:r w:rsidR="00A25066">
        <w:rPr>
          <w:lang w:val="en-AU"/>
        </w:rPr>
        <w:t xml:space="preserve"> </w:t>
      </w:r>
    </w:p>
    <w:p w14:paraId="7A4FDE10" w14:textId="44A1ADE0" w:rsidR="007075CA" w:rsidRDefault="007075CA" w:rsidP="00443C43">
      <w:pPr>
        <w:pStyle w:val="ListParagraph"/>
        <w:widowControl/>
        <w:numPr>
          <w:ilvl w:val="0"/>
          <w:numId w:val="20"/>
        </w:numPr>
        <w:rPr>
          <w:lang w:val="en-AU"/>
        </w:rPr>
      </w:pPr>
      <w:r>
        <w:rPr>
          <w:lang w:val="en-AU"/>
        </w:rPr>
        <w:t>2015 – Hepatitis A in frozen mixed berries</w:t>
      </w:r>
      <w:r w:rsidR="00A25066">
        <w:rPr>
          <w:lang w:val="en-AU"/>
        </w:rPr>
        <w:t xml:space="preserve"> </w:t>
      </w:r>
    </w:p>
    <w:p w14:paraId="245CC426" w14:textId="30B6D9B4" w:rsidR="00AB354A" w:rsidRPr="00AA4C0A" w:rsidRDefault="00AA4C0A" w:rsidP="00E82214">
      <w:pPr>
        <w:pStyle w:val="Heading2"/>
      </w:pPr>
      <w:bookmarkStart w:id="75" w:name="_Toc29998535"/>
      <w:r>
        <w:t>2.4</w:t>
      </w:r>
      <w:r>
        <w:tab/>
      </w:r>
      <w:r w:rsidR="00AB354A" w:rsidRPr="00AA4C0A">
        <w:t>Traceability</w:t>
      </w:r>
      <w:bookmarkEnd w:id="75"/>
    </w:p>
    <w:p w14:paraId="6E27399D" w14:textId="170EB80B" w:rsidR="00E82214" w:rsidRPr="00E66439" w:rsidRDefault="00AB354A" w:rsidP="00E82214">
      <w:pPr>
        <w:rPr>
          <w:rFonts w:ascii="Calibri" w:hAnsi="Calibri"/>
          <w:iCs/>
          <w:szCs w:val="22"/>
          <w:lang w:bidi="ar-SA"/>
        </w:rPr>
      </w:pPr>
      <w:r>
        <w:rPr>
          <w:lang w:eastAsia="en-AU" w:bidi="ar-SA"/>
        </w:rPr>
        <w:t xml:space="preserve">The issue of traceability </w:t>
      </w:r>
      <w:r w:rsidR="000E5133">
        <w:rPr>
          <w:lang w:eastAsia="en-AU" w:bidi="ar-SA"/>
        </w:rPr>
        <w:t>in</w:t>
      </w:r>
      <w:r>
        <w:rPr>
          <w:lang w:eastAsia="en-AU" w:bidi="ar-SA"/>
        </w:rPr>
        <w:t xml:space="preserve"> the horticulture sector was </w:t>
      </w:r>
      <w:r w:rsidR="00E82214">
        <w:rPr>
          <w:lang w:eastAsia="en-AU" w:bidi="ar-SA"/>
        </w:rPr>
        <w:t>flagged</w:t>
      </w:r>
      <w:r>
        <w:rPr>
          <w:lang w:eastAsia="en-AU" w:bidi="ar-SA"/>
        </w:rPr>
        <w:t xml:space="preserve"> </w:t>
      </w:r>
      <w:r w:rsidR="00AA4C0A">
        <w:rPr>
          <w:lang w:eastAsia="en-AU" w:bidi="ar-SA"/>
        </w:rPr>
        <w:t xml:space="preserve">in </w:t>
      </w:r>
      <w:r w:rsidR="00E82214">
        <w:rPr>
          <w:lang w:eastAsia="en-AU" w:bidi="ar-SA"/>
        </w:rPr>
        <w:t>P1015. T</w:t>
      </w:r>
      <w:r w:rsidR="00E82214" w:rsidRPr="00E66439">
        <w:rPr>
          <w:iCs/>
          <w:szCs w:val="22"/>
        </w:rPr>
        <w:t>raceability is a key focus across a number of concurrent and complementary ongoing projects</w:t>
      </w:r>
      <w:r w:rsidR="00E82214">
        <w:rPr>
          <w:iCs/>
          <w:szCs w:val="22"/>
        </w:rPr>
        <w:t xml:space="preserve"> in the wider food regulation system</w:t>
      </w:r>
      <w:r w:rsidR="00E82214" w:rsidRPr="00E66439">
        <w:rPr>
          <w:iCs/>
          <w:szCs w:val="22"/>
        </w:rPr>
        <w:t>, including</w:t>
      </w:r>
      <w:r w:rsidR="009417FA">
        <w:rPr>
          <w:iCs/>
          <w:szCs w:val="22"/>
        </w:rPr>
        <w:t>:</w:t>
      </w:r>
      <w:r w:rsidR="00E82214" w:rsidRPr="00E66439">
        <w:rPr>
          <w:iCs/>
          <w:szCs w:val="22"/>
        </w:rPr>
        <w:t xml:space="preserve"> </w:t>
      </w:r>
    </w:p>
    <w:p w14:paraId="71DA2010" w14:textId="4014CBA1" w:rsidR="00E82214" w:rsidRPr="00E66439" w:rsidRDefault="009417FA" w:rsidP="00443C43">
      <w:pPr>
        <w:pStyle w:val="FSBullet1"/>
        <w:numPr>
          <w:ilvl w:val="0"/>
          <w:numId w:val="20"/>
        </w:numPr>
        <w:rPr>
          <w:iCs/>
          <w:szCs w:val="22"/>
        </w:rPr>
      </w:pPr>
      <w:r>
        <w:rPr>
          <w:iCs/>
          <w:szCs w:val="22"/>
        </w:rPr>
        <w:t xml:space="preserve">The </w:t>
      </w:r>
      <w:r w:rsidR="00E82214" w:rsidRPr="00E66439">
        <w:rPr>
          <w:iCs/>
          <w:szCs w:val="22"/>
        </w:rPr>
        <w:t>National Traceability Project</w:t>
      </w:r>
    </w:p>
    <w:p w14:paraId="580CF288" w14:textId="77777777" w:rsidR="00E82214" w:rsidRPr="00E66439" w:rsidRDefault="00E82214" w:rsidP="00443C43">
      <w:pPr>
        <w:pStyle w:val="FSBullet1"/>
        <w:numPr>
          <w:ilvl w:val="0"/>
          <w:numId w:val="20"/>
        </w:numPr>
        <w:rPr>
          <w:iCs/>
          <w:szCs w:val="22"/>
        </w:rPr>
      </w:pPr>
      <w:r w:rsidRPr="00E66439">
        <w:rPr>
          <w:iCs/>
          <w:szCs w:val="22"/>
        </w:rPr>
        <w:t>FSANZ’s Review of chapter 3 and 4</w:t>
      </w:r>
    </w:p>
    <w:p w14:paraId="03C13AD4" w14:textId="127136B3" w:rsidR="00E82214" w:rsidRPr="00E66439" w:rsidRDefault="009417FA" w:rsidP="00443C43">
      <w:pPr>
        <w:pStyle w:val="FSBullet1"/>
        <w:numPr>
          <w:ilvl w:val="0"/>
          <w:numId w:val="20"/>
        </w:numPr>
        <w:rPr>
          <w:iCs/>
          <w:szCs w:val="22"/>
        </w:rPr>
      </w:pPr>
      <w:r>
        <w:rPr>
          <w:iCs/>
          <w:szCs w:val="22"/>
        </w:rPr>
        <w:lastRenderedPageBreak/>
        <w:t xml:space="preserve">The </w:t>
      </w:r>
      <w:r w:rsidR="00E82214" w:rsidRPr="00E66439">
        <w:rPr>
          <w:iCs/>
          <w:szCs w:val="22"/>
        </w:rPr>
        <w:t>Food Export review</w:t>
      </w:r>
      <w:r w:rsidR="00E82214" w:rsidRPr="00E66439">
        <w:rPr>
          <w:rStyle w:val="FootnoteReference"/>
          <w:iCs/>
          <w:szCs w:val="22"/>
        </w:rPr>
        <w:footnoteReference w:id="10"/>
      </w:r>
    </w:p>
    <w:p w14:paraId="0E395F4A" w14:textId="3C2C3532" w:rsidR="00E66439" w:rsidRDefault="00E66439" w:rsidP="000E5133">
      <w:pPr>
        <w:rPr>
          <w:lang w:eastAsia="en-AU" w:bidi="ar-SA"/>
        </w:rPr>
      </w:pPr>
    </w:p>
    <w:p w14:paraId="65A901D5" w14:textId="2D7D6023" w:rsidR="000E5133" w:rsidRDefault="00AB354A" w:rsidP="000E5133">
      <w:pPr>
        <w:rPr>
          <w:lang w:eastAsia="en-AU" w:bidi="ar-SA"/>
        </w:rPr>
      </w:pPr>
      <w:r>
        <w:rPr>
          <w:lang w:eastAsia="en-AU" w:bidi="ar-SA"/>
        </w:rPr>
        <w:t>In 2017, the Department of Agriculture initiated a National Traceability Project</w:t>
      </w:r>
      <w:r w:rsidR="0058367B">
        <w:rPr>
          <w:rStyle w:val="FootnoteReference"/>
          <w:lang w:eastAsia="en-AU" w:bidi="ar-SA"/>
        </w:rPr>
        <w:footnoteReference w:id="11"/>
      </w:r>
      <w:r>
        <w:rPr>
          <w:lang w:eastAsia="en-AU" w:bidi="ar-SA"/>
        </w:rPr>
        <w:t xml:space="preserve"> across all agriculture sectors. The project comprised two stages: the first to assess the current state of traceability systems across agricultural commodities and review global drivers for the future. The second stage was to develop a national traceability framework. This work was completed in 2019. </w:t>
      </w:r>
      <w:r w:rsidR="0058367B">
        <w:rPr>
          <w:lang w:eastAsia="en-AU" w:bidi="ar-SA"/>
        </w:rPr>
        <w:t>Industry action plans are now being developed by various sectors in cooperation with the Traceability Working Group which consist</w:t>
      </w:r>
      <w:r w:rsidR="000E5133">
        <w:rPr>
          <w:lang w:eastAsia="en-AU" w:bidi="ar-SA"/>
        </w:rPr>
        <w:t>s</w:t>
      </w:r>
      <w:r w:rsidR="0058367B">
        <w:rPr>
          <w:lang w:eastAsia="en-AU" w:bidi="ar-SA"/>
        </w:rPr>
        <w:t xml:space="preserve"> of commonwealth and state and territory jurisdictions. </w:t>
      </w:r>
      <w:r w:rsidR="000E5133">
        <w:rPr>
          <w:lang w:eastAsia="en-AU" w:bidi="ar-SA"/>
        </w:rPr>
        <w:t>FSANZ has been involved in this work.</w:t>
      </w:r>
    </w:p>
    <w:p w14:paraId="65099497" w14:textId="77777777" w:rsidR="00E66439" w:rsidRDefault="00E66439" w:rsidP="000E5133">
      <w:pPr>
        <w:rPr>
          <w:lang w:eastAsia="en-AU" w:bidi="ar-SA"/>
        </w:rPr>
      </w:pPr>
    </w:p>
    <w:p w14:paraId="5BA43D0A" w14:textId="5EE1B74B" w:rsidR="00AB354A" w:rsidRDefault="008025B7" w:rsidP="000E5133">
      <w:pPr>
        <w:rPr>
          <w:lang w:eastAsia="en-AU" w:bidi="ar-SA"/>
        </w:rPr>
      </w:pPr>
      <w:r w:rsidRPr="00E82214">
        <w:rPr>
          <w:lang w:eastAsia="en-AU" w:bidi="ar-SA"/>
        </w:rPr>
        <w:t xml:space="preserve">FSANZ </w:t>
      </w:r>
      <w:r w:rsidR="00E82214" w:rsidRPr="00E82214">
        <w:rPr>
          <w:lang w:eastAsia="en-AU" w:bidi="ar-SA"/>
        </w:rPr>
        <w:t>will continue to monitor and engage in these projects</w:t>
      </w:r>
      <w:r w:rsidR="00E82214">
        <w:rPr>
          <w:lang w:eastAsia="en-AU" w:bidi="ar-SA"/>
        </w:rPr>
        <w:t>, where appropriate,</w:t>
      </w:r>
      <w:r w:rsidR="00E82214" w:rsidRPr="00E82214">
        <w:rPr>
          <w:lang w:eastAsia="en-AU" w:bidi="ar-SA"/>
        </w:rPr>
        <w:t xml:space="preserve"> as this proposal progresses.</w:t>
      </w:r>
      <w:r w:rsidRPr="00E82214">
        <w:rPr>
          <w:lang w:eastAsia="en-AU" w:bidi="ar-SA"/>
        </w:rPr>
        <w:t xml:space="preserve"> </w:t>
      </w:r>
    </w:p>
    <w:p w14:paraId="2D9266B5" w14:textId="03153DBD" w:rsidR="00AB354A" w:rsidRPr="008025B7" w:rsidRDefault="00AB354A" w:rsidP="000E5133">
      <w:pPr>
        <w:rPr>
          <w:lang w:eastAsia="en-AU" w:bidi="ar-SA"/>
        </w:rPr>
      </w:pPr>
    </w:p>
    <w:p w14:paraId="1E850BD0" w14:textId="71641878" w:rsidR="00F064DE" w:rsidRPr="00F064DE" w:rsidRDefault="00F064DE" w:rsidP="00F064DE">
      <w:pPr>
        <w:pStyle w:val="Heading1"/>
      </w:pPr>
      <w:bookmarkStart w:id="76" w:name="_Toc27667542"/>
      <w:bookmarkStart w:id="77" w:name="_Toc29998536"/>
      <w:bookmarkStart w:id="78" w:name="_Toc28953762"/>
      <w:bookmarkStart w:id="79" w:name="_Toc29288656"/>
      <w:r>
        <w:t>3</w:t>
      </w:r>
      <w:r>
        <w:tab/>
      </w:r>
      <w:r w:rsidR="008341D2">
        <w:t>A</w:t>
      </w:r>
      <w:r w:rsidR="00941421">
        <w:t>ssessment</w:t>
      </w:r>
      <w:bookmarkEnd w:id="76"/>
      <w:bookmarkEnd w:id="77"/>
      <w:r w:rsidR="008341D2">
        <w:t xml:space="preserve"> </w:t>
      </w:r>
      <w:bookmarkEnd w:id="78"/>
      <w:bookmarkEnd w:id="79"/>
    </w:p>
    <w:p w14:paraId="31ECBE3E" w14:textId="4BF7B83D" w:rsidR="004F69F6" w:rsidRDefault="00017F5F" w:rsidP="00904F5F">
      <w:pPr>
        <w:pStyle w:val="Heading2"/>
        <w:keepLines/>
      </w:pPr>
      <w:bookmarkStart w:id="80" w:name="_Toc286391009"/>
      <w:bookmarkStart w:id="81" w:name="_Toc300933425"/>
      <w:bookmarkStart w:id="82" w:name="_Toc120358583"/>
      <w:bookmarkStart w:id="83" w:name="_Toc175381440"/>
      <w:bookmarkStart w:id="84" w:name="_Toc27667543"/>
      <w:bookmarkStart w:id="85" w:name="_Toc28953763"/>
      <w:bookmarkStart w:id="86" w:name="_Toc29288657"/>
      <w:bookmarkStart w:id="87" w:name="_Toc29998537"/>
      <w:r>
        <w:t>3.1</w:t>
      </w:r>
      <w:r w:rsidR="00271F00">
        <w:tab/>
      </w:r>
      <w:bookmarkEnd w:id="80"/>
      <w:bookmarkEnd w:id="81"/>
      <w:bookmarkEnd w:id="82"/>
      <w:bookmarkEnd w:id="83"/>
      <w:r w:rsidR="00810662">
        <w:t>Microbiological A</w:t>
      </w:r>
      <w:r w:rsidR="00D30C3A">
        <w:t>ssessment</w:t>
      </w:r>
      <w:bookmarkEnd w:id="84"/>
      <w:bookmarkEnd w:id="85"/>
      <w:bookmarkEnd w:id="86"/>
      <w:bookmarkEnd w:id="87"/>
      <w:r w:rsidR="00832614">
        <w:t xml:space="preserve"> </w:t>
      </w:r>
    </w:p>
    <w:p w14:paraId="5AB45647" w14:textId="5D5694F3" w:rsidR="00904560" w:rsidRDefault="000014A2" w:rsidP="00640376">
      <w:pPr>
        <w:rPr>
          <w:lang w:bidi="ar-SA"/>
        </w:rPr>
      </w:pPr>
      <w:r w:rsidDel="0021024E">
        <w:rPr>
          <w:lang w:bidi="ar-SA"/>
        </w:rPr>
        <w:t>O</w:t>
      </w:r>
      <w:r w:rsidR="00034DA1">
        <w:rPr>
          <w:lang w:bidi="ar-SA"/>
        </w:rPr>
        <w:t xml:space="preserve">utbreaks of foodborne illness </w:t>
      </w:r>
      <w:r w:rsidR="00034DA1" w:rsidDel="0021024E">
        <w:rPr>
          <w:lang w:bidi="ar-SA"/>
        </w:rPr>
        <w:t xml:space="preserve">continue to be </w:t>
      </w:r>
      <w:r w:rsidR="00034DA1">
        <w:rPr>
          <w:lang w:bidi="ar-SA"/>
        </w:rPr>
        <w:t>associated with fresh horticultural produce in Australia and internationally.</w:t>
      </w:r>
      <w:r w:rsidR="00810662">
        <w:rPr>
          <w:lang w:bidi="ar-SA"/>
        </w:rPr>
        <w:t xml:space="preserve"> </w:t>
      </w:r>
      <w:r w:rsidR="00904560">
        <w:rPr>
          <w:lang w:bidi="ar-SA"/>
        </w:rPr>
        <w:t>T</w:t>
      </w:r>
      <w:r w:rsidR="007D046E">
        <w:rPr>
          <w:lang w:bidi="ar-SA"/>
        </w:rPr>
        <w:t>his Proposal has been informed by the following</w:t>
      </w:r>
      <w:r w:rsidR="00904560">
        <w:rPr>
          <w:lang w:bidi="ar-SA"/>
        </w:rPr>
        <w:t>:</w:t>
      </w:r>
    </w:p>
    <w:p w14:paraId="19EA09C5" w14:textId="3E986124" w:rsidR="007D046E" w:rsidRPr="007D046E" w:rsidRDefault="007D046E" w:rsidP="00913B2D">
      <w:pPr>
        <w:pStyle w:val="ListParagraph"/>
        <w:numPr>
          <w:ilvl w:val="0"/>
          <w:numId w:val="21"/>
        </w:numPr>
        <w:rPr>
          <w:lang w:bidi="ar-SA"/>
        </w:rPr>
      </w:pPr>
      <w:r>
        <w:rPr>
          <w:szCs w:val="32"/>
        </w:rPr>
        <w:t>The assessment undertaken for P1015</w:t>
      </w:r>
      <w:r w:rsidR="00006335">
        <w:rPr>
          <w:szCs w:val="32"/>
        </w:rPr>
        <w:t>;</w:t>
      </w:r>
      <w:r>
        <w:rPr>
          <w:szCs w:val="32"/>
        </w:rPr>
        <w:t xml:space="preserve"> and</w:t>
      </w:r>
    </w:p>
    <w:p w14:paraId="7A8F2CCA" w14:textId="59E5E9EE" w:rsidR="00904560" w:rsidRDefault="007D046E" w:rsidP="00443C43">
      <w:pPr>
        <w:pStyle w:val="ListParagraph"/>
        <w:numPr>
          <w:ilvl w:val="0"/>
          <w:numId w:val="21"/>
        </w:numPr>
        <w:rPr>
          <w:lang w:bidi="ar-SA"/>
        </w:rPr>
      </w:pPr>
      <w:r>
        <w:rPr>
          <w:szCs w:val="32"/>
        </w:rPr>
        <w:t>An analysis of relevant Australia and international foodborne illness outbreaks between 2011-2019 (e.g. since P1015 assessment) and Australian recall data (refer SD1)</w:t>
      </w:r>
      <w:r w:rsidR="000E019B">
        <w:rPr>
          <w:szCs w:val="32"/>
        </w:rPr>
        <w:t xml:space="preserve">. </w:t>
      </w:r>
    </w:p>
    <w:p w14:paraId="146AE3F1" w14:textId="77777777" w:rsidR="001032F5" w:rsidRPr="00034DA1" w:rsidRDefault="001032F5" w:rsidP="00CE5A07">
      <w:pPr>
        <w:pStyle w:val="Heading3"/>
        <w:keepLines/>
      </w:pPr>
      <w:bookmarkStart w:id="88" w:name="_Toc29288658"/>
      <w:bookmarkStart w:id="89" w:name="_Toc29998538"/>
      <w:r>
        <w:t>3.1.1</w:t>
      </w:r>
      <w:r>
        <w:tab/>
      </w:r>
      <w:r w:rsidRPr="00034DA1">
        <w:t>Previous FSANZ findings</w:t>
      </w:r>
      <w:bookmarkEnd w:id="88"/>
      <w:bookmarkEnd w:id="89"/>
    </w:p>
    <w:p w14:paraId="12ACD098" w14:textId="0DCFDC06" w:rsidR="006B55F3" w:rsidRDefault="00350220" w:rsidP="00CE5A07">
      <w:pPr>
        <w:keepLines/>
      </w:pPr>
      <w:r>
        <w:t xml:space="preserve">In P1015, </w:t>
      </w:r>
      <w:r w:rsidR="006B55F3">
        <w:t>FSANZ undertook a descriptive scoping review of selected, well documented outbreaks associated with fresh ready-to-eat horticultural produce</w:t>
      </w:r>
      <w:r w:rsidR="00640376">
        <w:t>,</w:t>
      </w:r>
      <w:r w:rsidR="006B55F3">
        <w:t xml:space="preserve"> to determine whether certain assumption</w:t>
      </w:r>
      <w:r w:rsidR="00640376">
        <w:t>s</w:t>
      </w:r>
      <w:r w:rsidR="006B55F3">
        <w:t xml:space="preserve"> regarding the types of commodities implicated in outbreaks, and the associated production factors held true to the Australian situation. </w:t>
      </w:r>
    </w:p>
    <w:p w14:paraId="689AC3EE" w14:textId="61F5C485" w:rsidR="006B55F3" w:rsidRDefault="006B55F3" w:rsidP="00CE5A07">
      <w:pPr>
        <w:keepLines/>
      </w:pPr>
    </w:p>
    <w:p w14:paraId="56CF7C33" w14:textId="66C4BEB2" w:rsidR="00A47FD5" w:rsidRDefault="00640376" w:rsidP="00CE5A07">
      <w:pPr>
        <w:keepLines/>
        <w:rPr>
          <w:rFonts w:cs="Arial"/>
        </w:rPr>
      </w:pPr>
      <w:r>
        <w:t>Noting data limitations discussed in the review, the</w:t>
      </w:r>
      <w:r w:rsidR="00A47FD5">
        <w:t xml:space="preserve"> </w:t>
      </w:r>
      <w:r w:rsidR="001032F5">
        <w:t xml:space="preserve">assessment </w:t>
      </w:r>
      <w:r w:rsidR="00A47FD5" w:rsidRPr="00F42F30">
        <w:t xml:space="preserve">reaffirmed </w:t>
      </w:r>
      <w:r>
        <w:t>the</w:t>
      </w:r>
      <w:r w:rsidR="00A47FD5">
        <w:t xml:space="preserve"> </w:t>
      </w:r>
      <w:r w:rsidR="00A47FD5" w:rsidRPr="00F42F30">
        <w:t>assumption</w:t>
      </w:r>
      <w:r w:rsidR="00DE0940">
        <w:t xml:space="preserve"> that fresh leafy vegetables, fresh leafy herbs, </w:t>
      </w:r>
      <w:r w:rsidR="00B801C3" w:rsidRPr="000545E1">
        <w:rPr>
          <w:rFonts w:cs="Arial"/>
        </w:rPr>
        <w:t>rockmelons</w:t>
      </w:r>
      <w:r w:rsidR="00B801C3">
        <w:rPr>
          <w:rFonts w:cs="Arial"/>
        </w:rPr>
        <w:t>,</w:t>
      </w:r>
      <w:r w:rsidR="00B801C3" w:rsidRPr="000545E1">
        <w:rPr>
          <w:rFonts w:cs="Arial"/>
        </w:rPr>
        <w:t xml:space="preserve"> fresh and semi-dried tomatoes and raspberries</w:t>
      </w:r>
      <w:r w:rsidR="00B801C3">
        <w:rPr>
          <w:rFonts w:cs="Arial"/>
        </w:rPr>
        <w:t xml:space="preserve"> were commonly associated </w:t>
      </w:r>
      <w:r w:rsidR="00627DB3">
        <w:rPr>
          <w:rFonts w:cs="Arial"/>
        </w:rPr>
        <w:t>with</w:t>
      </w:r>
      <w:r w:rsidR="00B801C3">
        <w:rPr>
          <w:rFonts w:cs="Arial"/>
        </w:rPr>
        <w:t xml:space="preserve"> illness.</w:t>
      </w:r>
      <w:r w:rsidR="00DE0940">
        <w:t xml:space="preserve"> </w:t>
      </w:r>
    </w:p>
    <w:p w14:paraId="70DC8E1C" w14:textId="77777777" w:rsidR="00A47FD5" w:rsidRDefault="00A47FD5" w:rsidP="00CE5A07">
      <w:pPr>
        <w:keepLines/>
        <w:rPr>
          <w:rFonts w:cs="Arial"/>
        </w:rPr>
      </w:pPr>
    </w:p>
    <w:p w14:paraId="12986BCE" w14:textId="0BE2AE3E" w:rsidR="00C423B7" w:rsidRDefault="00A47FD5" w:rsidP="00627DB3">
      <w:pPr>
        <w:widowControl/>
        <w:autoSpaceDE w:val="0"/>
        <w:autoSpaceDN w:val="0"/>
        <w:adjustRightInd w:val="0"/>
      </w:pPr>
      <w:r>
        <w:rPr>
          <w:rFonts w:cs="Arial"/>
        </w:rPr>
        <w:lastRenderedPageBreak/>
        <w:t xml:space="preserve">The review </w:t>
      </w:r>
      <w:r w:rsidR="00B801C3">
        <w:rPr>
          <w:rFonts w:cs="Arial"/>
        </w:rPr>
        <w:t xml:space="preserve">also </w:t>
      </w:r>
      <w:r>
        <w:rPr>
          <w:rFonts w:cs="Arial"/>
        </w:rPr>
        <w:t xml:space="preserve">noted </w:t>
      </w:r>
      <w:r w:rsidR="00B801C3">
        <w:rPr>
          <w:rFonts w:cs="Arial"/>
        </w:rPr>
        <w:t xml:space="preserve">the </w:t>
      </w:r>
      <w:r>
        <w:rPr>
          <w:rFonts w:cs="Arial"/>
        </w:rPr>
        <w:t xml:space="preserve">difficulties involved with </w:t>
      </w:r>
      <w:r w:rsidRPr="00723D4F">
        <w:t>source attribution</w:t>
      </w:r>
      <w:r>
        <w:t xml:space="preserve"> and determining the </w:t>
      </w:r>
      <w:r w:rsidRPr="00723D4F">
        <w:t>exact mechanism of produce contamination.</w:t>
      </w:r>
      <w:r w:rsidR="00B801C3">
        <w:t xml:space="preserve"> </w:t>
      </w:r>
      <w:r w:rsidR="00983219" w:rsidRPr="000545E1">
        <w:rPr>
          <w:rFonts w:cs="Arial"/>
        </w:rPr>
        <w:t xml:space="preserve">The review identified </w:t>
      </w:r>
      <w:r w:rsidR="00983219">
        <w:rPr>
          <w:rFonts w:cs="Arial"/>
        </w:rPr>
        <w:t xml:space="preserve">key risk factors, but </w:t>
      </w:r>
      <w:r w:rsidR="001B289B">
        <w:rPr>
          <w:rFonts w:cs="Arial"/>
        </w:rPr>
        <w:t xml:space="preserve">the evidence </w:t>
      </w:r>
      <w:r w:rsidR="00983219" w:rsidRPr="00723D4F">
        <w:t xml:space="preserve">did not contain </w:t>
      </w:r>
      <w:r w:rsidR="00983219">
        <w:t>sufficient detail</w:t>
      </w:r>
      <w:r w:rsidR="00983219" w:rsidRPr="00723D4F">
        <w:t xml:space="preserve"> to determine whether risk factors </w:t>
      </w:r>
      <w:r w:rsidR="00983219">
        <w:t>differ for</w:t>
      </w:r>
      <w:r w:rsidR="00983219" w:rsidRPr="00723D4F">
        <w:t xml:space="preserve"> different production systems (e.g.</w:t>
      </w:r>
      <w:r w:rsidR="00983219">
        <w:t xml:space="preserve"> field grown versus hydroponics</w:t>
      </w:r>
      <w:r w:rsidR="00167719">
        <w:t>)</w:t>
      </w:r>
      <w:r w:rsidR="00983219">
        <w:t>.</w:t>
      </w:r>
    </w:p>
    <w:p w14:paraId="15505BA5" w14:textId="77777777" w:rsidR="00627DB3" w:rsidRDefault="00627DB3" w:rsidP="00627DB3">
      <w:pPr>
        <w:widowControl/>
        <w:autoSpaceDE w:val="0"/>
        <w:autoSpaceDN w:val="0"/>
        <w:adjustRightInd w:val="0"/>
      </w:pPr>
    </w:p>
    <w:p w14:paraId="3044884C" w14:textId="77777777" w:rsidR="00C423B7" w:rsidRDefault="00C423B7" w:rsidP="00034DA1">
      <w:r>
        <w:t>Control measures to mitigate contamination were identified as:</w:t>
      </w:r>
    </w:p>
    <w:p w14:paraId="1035DD9C" w14:textId="31065BB7" w:rsidR="00C423B7" w:rsidRPr="00C74606" w:rsidRDefault="00C423B7" w:rsidP="00443C43">
      <w:pPr>
        <w:pStyle w:val="ListParagraph"/>
        <w:numPr>
          <w:ilvl w:val="0"/>
          <w:numId w:val="22"/>
        </w:numPr>
      </w:pPr>
      <w:r w:rsidRPr="00C74606">
        <w:t>Pre-harvest water managed to minimise risk of contaminating produce:</w:t>
      </w:r>
    </w:p>
    <w:p w14:paraId="7D8353DA" w14:textId="3D767751" w:rsidR="00C423B7" w:rsidRPr="00C74606" w:rsidRDefault="00C423B7" w:rsidP="00443C43">
      <w:pPr>
        <w:pStyle w:val="ListParagraph"/>
        <w:numPr>
          <w:ilvl w:val="1"/>
          <w:numId w:val="22"/>
        </w:numPr>
      </w:pPr>
      <w:r w:rsidRPr="00C74606">
        <w:t>Water used for pre-harvest activities (e.g. irrigation, application of pesticides and herbicides) are managed to avoid contamination from human activities, livestock production activities, domestic animals and wildlife</w:t>
      </w:r>
      <w:r w:rsidR="009417FA">
        <w:t>.</w:t>
      </w:r>
    </w:p>
    <w:p w14:paraId="3234DC84" w14:textId="36A6F023" w:rsidR="00C423B7" w:rsidRPr="00C74606" w:rsidRDefault="00C423B7" w:rsidP="00443C43">
      <w:pPr>
        <w:pStyle w:val="ListParagraph"/>
        <w:numPr>
          <w:ilvl w:val="1"/>
          <w:numId w:val="22"/>
        </w:numPr>
      </w:pPr>
      <w:r w:rsidRPr="00C74606">
        <w:t>Equipment used to apply water onto produce is maintained to a suitable standard to maintain the quality of the water</w:t>
      </w:r>
      <w:r w:rsidR="009417FA">
        <w:t>.</w:t>
      </w:r>
    </w:p>
    <w:p w14:paraId="30FC736B" w14:textId="77777777" w:rsidR="00C423B7" w:rsidRPr="00C74606" w:rsidRDefault="00C423B7" w:rsidP="00443C43">
      <w:pPr>
        <w:pStyle w:val="ListParagraph"/>
        <w:keepNext/>
        <w:keepLines/>
        <w:numPr>
          <w:ilvl w:val="0"/>
          <w:numId w:val="22"/>
        </w:numPr>
      </w:pPr>
      <w:r w:rsidRPr="00C74606">
        <w:t>Post-harvest water managed to minimise risk of contaminating produce:</w:t>
      </w:r>
    </w:p>
    <w:p w14:paraId="5FE4A3F0" w14:textId="26CF28AD" w:rsidR="00C423B7" w:rsidRPr="00C74606" w:rsidRDefault="00C423B7" w:rsidP="00443C43">
      <w:pPr>
        <w:pStyle w:val="ListParagraph"/>
        <w:keepNext/>
        <w:keepLines/>
        <w:numPr>
          <w:ilvl w:val="1"/>
          <w:numId w:val="22"/>
        </w:numPr>
      </w:pPr>
      <w:r w:rsidRPr="00C74606">
        <w:t>Water used for post-harvest activities (e.g. washing) is of potable quality</w:t>
      </w:r>
      <w:r w:rsidR="009417FA">
        <w:t>.</w:t>
      </w:r>
      <w:r w:rsidRPr="00C74606">
        <w:t xml:space="preserve"> </w:t>
      </w:r>
    </w:p>
    <w:p w14:paraId="32C91956" w14:textId="1EF74E0A" w:rsidR="008E1605" w:rsidRDefault="00C423B7" w:rsidP="00443C43">
      <w:pPr>
        <w:pStyle w:val="ListParagraph"/>
        <w:numPr>
          <w:ilvl w:val="0"/>
          <w:numId w:val="23"/>
        </w:numPr>
        <w:rPr>
          <w:rFonts w:cs="Arial"/>
        </w:rPr>
      </w:pPr>
      <w:r w:rsidRPr="00C74606">
        <w:t>Exclusion of domestic animals and wildlife from growing, packing and storage areas</w:t>
      </w:r>
      <w:r w:rsidR="009417FA">
        <w:t>.</w:t>
      </w:r>
      <w:r w:rsidR="008E1605" w:rsidRPr="008E1605">
        <w:rPr>
          <w:rFonts w:cs="Arial"/>
        </w:rPr>
        <w:t xml:space="preserve"> </w:t>
      </w:r>
    </w:p>
    <w:p w14:paraId="1001236D" w14:textId="4A02420C" w:rsidR="008E1605" w:rsidRPr="00F42F30" w:rsidRDefault="008E1605" w:rsidP="00443C43">
      <w:pPr>
        <w:pStyle w:val="ListParagraph"/>
        <w:numPr>
          <w:ilvl w:val="0"/>
          <w:numId w:val="23"/>
        </w:numPr>
        <w:rPr>
          <w:rFonts w:cs="Arial"/>
        </w:rPr>
      </w:pPr>
      <w:r>
        <w:rPr>
          <w:rFonts w:cs="Arial"/>
        </w:rPr>
        <w:t>G</w:t>
      </w:r>
      <w:r w:rsidRPr="00F42F30">
        <w:rPr>
          <w:rFonts w:cs="Arial"/>
        </w:rPr>
        <w:t>ood hygienic practice along the supply chain.</w:t>
      </w:r>
    </w:p>
    <w:p w14:paraId="7EEE0C27" w14:textId="1DB03298" w:rsidR="001032F5" w:rsidRPr="00017F5F" w:rsidRDefault="001032F5" w:rsidP="001032F5">
      <w:pPr>
        <w:pStyle w:val="Heading3"/>
      </w:pPr>
      <w:bookmarkStart w:id="90" w:name="_Toc29288659"/>
      <w:bookmarkStart w:id="91" w:name="_Toc29998539"/>
      <w:r>
        <w:t>3.1.2</w:t>
      </w:r>
      <w:r>
        <w:tab/>
      </w:r>
      <w:r w:rsidRPr="00017F5F">
        <w:t xml:space="preserve">Current </w:t>
      </w:r>
      <w:bookmarkEnd w:id="90"/>
      <w:r w:rsidR="00C423B7">
        <w:t>foodborne illness</w:t>
      </w:r>
      <w:bookmarkEnd w:id="91"/>
    </w:p>
    <w:p w14:paraId="631D1499" w14:textId="23154248" w:rsidR="00983219" w:rsidRDefault="00983219" w:rsidP="00983219">
      <w:pPr>
        <w:rPr>
          <w:lang w:bidi="ar-SA"/>
        </w:rPr>
      </w:pPr>
      <w:r>
        <w:rPr>
          <w:lang w:bidi="ar-SA"/>
        </w:rPr>
        <w:t>A</w:t>
      </w:r>
      <w:r w:rsidDel="003E175E">
        <w:rPr>
          <w:lang w:bidi="ar-SA"/>
        </w:rPr>
        <w:t xml:space="preserve"> </w:t>
      </w:r>
      <w:r w:rsidR="00A047C6">
        <w:rPr>
          <w:lang w:bidi="ar-SA"/>
        </w:rPr>
        <w:t xml:space="preserve">subsequent </w:t>
      </w:r>
      <w:r w:rsidDel="003E175E">
        <w:rPr>
          <w:lang w:bidi="ar-SA"/>
        </w:rPr>
        <w:t xml:space="preserve">preliminary assessment </w:t>
      </w:r>
      <w:r w:rsidR="00350220">
        <w:rPr>
          <w:lang w:bidi="ar-SA"/>
        </w:rPr>
        <w:t xml:space="preserve">by FSANZ </w:t>
      </w:r>
      <w:r w:rsidDel="003E175E">
        <w:rPr>
          <w:lang w:bidi="ar-SA"/>
        </w:rPr>
        <w:t xml:space="preserve">of Australian and international foodborne outbreaks linked to fresh horticultural produce </w:t>
      </w:r>
      <w:r w:rsidR="00A047C6">
        <w:rPr>
          <w:lang w:bidi="ar-SA"/>
        </w:rPr>
        <w:t xml:space="preserve">between </w:t>
      </w:r>
      <w:r w:rsidDel="003E175E">
        <w:rPr>
          <w:lang w:bidi="ar-SA"/>
        </w:rPr>
        <w:t>2011–2019</w:t>
      </w:r>
      <w:r w:rsidR="00A047C6">
        <w:rPr>
          <w:lang w:bidi="ar-SA"/>
        </w:rPr>
        <w:t>,</w:t>
      </w:r>
      <w:r w:rsidDel="003E175E">
        <w:rPr>
          <w:lang w:bidi="ar-SA"/>
        </w:rPr>
        <w:t xml:space="preserve"> indicates that the conclusions </w:t>
      </w:r>
      <w:r w:rsidR="009417FA">
        <w:rPr>
          <w:lang w:bidi="ar-SA"/>
        </w:rPr>
        <w:t xml:space="preserve">from </w:t>
      </w:r>
      <w:r>
        <w:rPr>
          <w:lang w:bidi="ar-SA"/>
        </w:rPr>
        <w:t>the previous assessment</w:t>
      </w:r>
      <w:r w:rsidDel="003E175E">
        <w:rPr>
          <w:lang w:bidi="ar-SA"/>
        </w:rPr>
        <w:t xml:space="preserve"> </w:t>
      </w:r>
      <w:r>
        <w:rPr>
          <w:lang w:bidi="ar-SA"/>
        </w:rPr>
        <w:t xml:space="preserve">of foodborne illness </w:t>
      </w:r>
      <w:r w:rsidDel="003E175E">
        <w:rPr>
          <w:lang w:bidi="ar-SA"/>
        </w:rPr>
        <w:t xml:space="preserve">still largely apply. </w:t>
      </w:r>
    </w:p>
    <w:p w14:paraId="2811092B" w14:textId="77777777" w:rsidR="00983219" w:rsidRDefault="00983219" w:rsidP="00983219">
      <w:pPr>
        <w:rPr>
          <w:lang w:bidi="ar-SA"/>
        </w:rPr>
      </w:pPr>
    </w:p>
    <w:p w14:paraId="2876E637" w14:textId="7929FB96" w:rsidR="00983219" w:rsidRDefault="00983219" w:rsidP="00983219">
      <w:r>
        <w:rPr>
          <w:lang w:bidi="ar-SA"/>
        </w:rPr>
        <w:t xml:space="preserve">In Australia </w:t>
      </w:r>
      <w:r w:rsidR="007D046E">
        <w:rPr>
          <w:lang w:bidi="ar-SA"/>
        </w:rPr>
        <w:t>between 2011 and 2019,</w:t>
      </w:r>
      <w:r>
        <w:rPr>
          <w:lang w:bidi="ar-SA"/>
        </w:rPr>
        <w:t xml:space="preserve"> </w:t>
      </w:r>
      <w:r w:rsidR="007D046E">
        <w:rPr>
          <w:lang w:bidi="ar-SA"/>
        </w:rPr>
        <w:t>outbreaks resulted in</w:t>
      </w:r>
      <w:r>
        <w:rPr>
          <w:lang w:bidi="ar-SA"/>
        </w:rPr>
        <w:t xml:space="preserve"> at least 408 cases of illness and nine deaths (see Table 3 in SD1). </w:t>
      </w:r>
      <w:r w:rsidR="00167719">
        <w:rPr>
          <w:lang w:bidi="ar-SA"/>
        </w:rPr>
        <w:t xml:space="preserve">Data on Australian outbreaks indicate </w:t>
      </w:r>
      <w:r w:rsidRPr="0085470F">
        <w:rPr>
          <w:i/>
        </w:rPr>
        <w:t xml:space="preserve">Salmonella </w:t>
      </w:r>
      <w:r w:rsidRPr="0085470F">
        <w:t xml:space="preserve">and viruses (Hepatitis A and norovirus) are responsible for the majority of recorded </w:t>
      </w:r>
      <w:r>
        <w:t xml:space="preserve">horticulture associated </w:t>
      </w:r>
      <w:r w:rsidRPr="0085470F">
        <w:t xml:space="preserve">outbreaks. </w:t>
      </w:r>
      <w:r w:rsidR="00167719" w:rsidDel="003E175E">
        <w:t xml:space="preserve">Commodity sectors most often associated with outbreaks were leafy vegetables (lettuces, bagged salads), melons and berries. </w:t>
      </w:r>
      <w:r>
        <w:t xml:space="preserve">There </w:t>
      </w:r>
      <w:r w:rsidR="00C948F1">
        <w:t>is</w:t>
      </w:r>
      <w:r>
        <w:t xml:space="preserve"> a lack of data regarding potential supply chain failure points for the majority of these outbreaks, with inadequate sanitation being the only issue identified.</w:t>
      </w:r>
    </w:p>
    <w:p w14:paraId="3E0D5D10" w14:textId="77777777" w:rsidR="00983219" w:rsidRDefault="00983219" w:rsidP="00034DA1">
      <w:pPr>
        <w:rPr>
          <w:lang w:bidi="ar-SA"/>
        </w:rPr>
      </w:pPr>
    </w:p>
    <w:p w14:paraId="57B7AF07" w14:textId="24EB5154" w:rsidR="00167719" w:rsidRDefault="00167719" w:rsidP="00167719">
      <w:r>
        <w:rPr>
          <w:lang w:bidi="ar-SA"/>
        </w:rPr>
        <w:t xml:space="preserve">Internationally, </w:t>
      </w:r>
      <w:r w:rsidRPr="00657674">
        <w:t>44 outbreaks</w:t>
      </w:r>
      <w:r w:rsidRPr="0089314A">
        <w:t xml:space="preserve"> </w:t>
      </w:r>
      <w:r>
        <w:t>were identified</w:t>
      </w:r>
      <w:r w:rsidR="00A047C6">
        <w:t>,</w:t>
      </w:r>
      <w:r>
        <w:t xml:space="preserve"> most commonly caused by contamination with viruses (Hepatitis A and norovirus), bacterial pathogens (particularly </w:t>
      </w:r>
      <w:r w:rsidRPr="00F73C4B">
        <w:rPr>
          <w:i/>
        </w:rPr>
        <w:t>Salmonella</w:t>
      </w:r>
      <w:r>
        <w:t xml:space="preserve"> spp., enterohaemorrhagic </w:t>
      </w:r>
      <w:r w:rsidRPr="009B354C">
        <w:rPr>
          <w:i/>
        </w:rPr>
        <w:t>E. coli</w:t>
      </w:r>
      <w:r>
        <w:t xml:space="preserve"> and </w:t>
      </w:r>
      <w:r w:rsidRPr="001C3E36">
        <w:rPr>
          <w:i/>
        </w:rPr>
        <w:t>L</w:t>
      </w:r>
      <w:r>
        <w:rPr>
          <w:i/>
        </w:rPr>
        <w:t>. </w:t>
      </w:r>
      <w:r w:rsidRPr="001C3E36">
        <w:rPr>
          <w:i/>
        </w:rPr>
        <w:t>monocytogenes</w:t>
      </w:r>
      <w:r>
        <w:t xml:space="preserve">) and enteric parasites (e.g. </w:t>
      </w:r>
      <w:r w:rsidRPr="00766015">
        <w:rPr>
          <w:i/>
        </w:rPr>
        <w:t>Cyclospora</w:t>
      </w:r>
      <w:r w:rsidR="00294846">
        <w:rPr>
          <w:i/>
        </w:rPr>
        <w:t> </w:t>
      </w:r>
      <w:r w:rsidRPr="00766015">
        <w:rPr>
          <w:i/>
        </w:rPr>
        <w:t>cayetanensis</w:t>
      </w:r>
      <w:r>
        <w:t>). Commodity sectors most often associated with outbreaks were leafy vegetables (lettuces, bagged salads), berries, sprouts and melons.</w:t>
      </w:r>
    </w:p>
    <w:p w14:paraId="01852B6D" w14:textId="4824718C" w:rsidR="00164877" w:rsidRDefault="00164877" w:rsidP="00034DA1">
      <w:pPr>
        <w:rPr>
          <w:lang w:bidi="ar-SA"/>
        </w:rPr>
      </w:pPr>
    </w:p>
    <w:p w14:paraId="1CFFC159" w14:textId="2ADFA1AB" w:rsidR="00BF5534" w:rsidRDefault="00167719" w:rsidP="00BF5534">
      <w:r>
        <w:lastRenderedPageBreak/>
        <w:t>In the studies that provided a root cause analysis,</w:t>
      </w:r>
      <w:r w:rsidRPr="00061BCD">
        <w:t xml:space="preserve"> the use of poor quality water for irrigation or applicati</w:t>
      </w:r>
      <w:r>
        <w:t>on of crop protection chemicals; d</w:t>
      </w:r>
      <w:r w:rsidRPr="00061BCD">
        <w:t>irect faecal contaminatio</w:t>
      </w:r>
      <w:r>
        <w:t xml:space="preserve">n of produce growing in the field; and </w:t>
      </w:r>
      <w:r w:rsidRPr="00061BCD">
        <w:t>defects in facilities, hygiene, sanitation and</w:t>
      </w:r>
      <w:r w:rsidRPr="00625BB3">
        <w:t xml:space="preserve"> process controls</w:t>
      </w:r>
      <w:r>
        <w:t xml:space="preserve"> on farm,</w:t>
      </w:r>
      <w:r w:rsidRPr="00625BB3">
        <w:t xml:space="preserve"> in </w:t>
      </w:r>
      <w:r>
        <w:t>processing facilities and a</w:t>
      </w:r>
      <w:r w:rsidRPr="00061BCD">
        <w:t>long the supply chain were identified.</w:t>
      </w:r>
      <w:r>
        <w:t xml:space="preserve"> These factors point to failures to implement, monitor and correct defects in Good Agricultural Practices on farm and Good Hygienic Practices post-harvest</w:t>
      </w:r>
    </w:p>
    <w:p w14:paraId="4F5A515A" w14:textId="5D3A3493" w:rsidR="00BF5534" w:rsidRDefault="00BF5534" w:rsidP="00BF5534">
      <w:pPr>
        <w:pStyle w:val="Heading3"/>
      </w:pPr>
      <w:bookmarkStart w:id="92" w:name="_Toc29998540"/>
      <w:r>
        <w:t>3.1.2</w:t>
      </w:r>
      <w:r>
        <w:tab/>
        <w:t>Conclusion</w:t>
      </w:r>
      <w:bookmarkEnd w:id="92"/>
    </w:p>
    <w:p w14:paraId="51422CEE" w14:textId="48A58E87" w:rsidR="00D30FF4" w:rsidRDefault="008A16B6" w:rsidP="00BF5534">
      <w:pPr>
        <w:rPr>
          <w:rFonts w:cs="Arial"/>
          <w:szCs w:val="22"/>
        </w:rPr>
      </w:pPr>
      <w:r>
        <w:t>The p</w:t>
      </w:r>
      <w:r w:rsidR="00BF5534">
        <w:rPr>
          <w:rFonts w:cs="Arial"/>
          <w:szCs w:val="22"/>
        </w:rPr>
        <w:t>reliminary analysis of Australian and international data on foodborne illness and microbial contamination of horticultural produce is consistent with the conclusions</w:t>
      </w:r>
      <w:r w:rsidR="00D00D1D">
        <w:rPr>
          <w:rFonts w:cs="Arial"/>
          <w:szCs w:val="22"/>
        </w:rPr>
        <w:t xml:space="preserve"> of</w:t>
      </w:r>
      <w:r w:rsidR="00BF5534">
        <w:rPr>
          <w:rFonts w:cs="Arial"/>
          <w:szCs w:val="22"/>
        </w:rPr>
        <w:t xml:space="preserve"> </w:t>
      </w:r>
      <w:r>
        <w:rPr>
          <w:rFonts w:cs="Arial"/>
          <w:szCs w:val="22"/>
        </w:rPr>
        <w:t xml:space="preserve">FSANZ’s previous assessment. </w:t>
      </w:r>
      <w:r w:rsidR="00A047C6">
        <w:rPr>
          <w:rFonts w:cs="Arial"/>
          <w:szCs w:val="22"/>
        </w:rPr>
        <w:t xml:space="preserve">The evidence assessed </w:t>
      </w:r>
      <w:r w:rsidR="00A047C6">
        <w:rPr>
          <w:lang w:bidi="ar-SA"/>
        </w:rPr>
        <w:t>shows</w:t>
      </w:r>
      <w:r w:rsidR="00A047C6" w:rsidRPr="001C240A">
        <w:rPr>
          <w:lang w:bidi="ar-SA"/>
        </w:rPr>
        <w:t xml:space="preserve"> </w:t>
      </w:r>
      <w:r w:rsidR="00A047C6">
        <w:rPr>
          <w:lang w:bidi="ar-SA"/>
        </w:rPr>
        <w:t>ongoing occurrences of serious illnesses (and even deaths) associated with high-risk horticultural produce.</w:t>
      </w:r>
    </w:p>
    <w:p w14:paraId="1172BC6C" w14:textId="77777777" w:rsidR="00D30FF4" w:rsidRDefault="00D30FF4" w:rsidP="00BF5534">
      <w:pPr>
        <w:rPr>
          <w:rFonts w:cs="Arial"/>
          <w:szCs w:val="22"/>
        </w:rPr>
      </w:pPr>
    </w:p>
    <w:p w14:paraId="60C318A8" w14:textId="1D2B31AA" w:rsidR="00640376" w:rsidRDefault="00460141" w:rsidP="00034DA1">
      <w:pPr>
        <w:rPr>
          <w:lang w:bidi="ar-SA"/>
        </w:rPr>
      </w:pPr>
      <w:r>
        <w:rPr>
          <w:rFonts w:cs="Arial"/>
          <w:szCs w:val="22"/>
        </w:rPr>
        <w:t>In the next stage FSANZ</w:t>
      </w:r>
      <w:r w:rsidR="00D30FF4">
        <w:rPr>
          <w:rFonts w:cs="Arial"/>
          <w:szCs w:val="22"/>
        </w:rPr>
        <w:t xml:space="preserve"> will</w:t>
      </w:r>
      <w:r w:rsidR="008A16B6">
        <w:rPr>
          <w:rFonts w:cs="Arial"/>
          <w:szCs w:val="22"/>
        </w:rPr>
        <w:t xml:space="preserve"> </w:t>
      </w:r>
      <w:r>
        <w:rPr>
          <w:rFonts w:cs="Arial"/>
          <w:szCs w:val="22"/>
        </w:rPr>
        <w:t xml:space="preserve">further </w:t>
      </w:r>
      <w:r w:rsidR="008A16B6">
        <w:rPr>
          <w:rFonts w:cs="Arial"/>
          <w:szCs w:val="22"/>
        </w:rPr>
        <w:t>assess the food safety risks and possible risk mitigation measures for berries, melons and leafy</w:t>
      </w:r>
      <w:r>
        <w:rPr>
          <w:rFonts w:cs="Arial"/>
          <w:szCs w:val="22"/>
        </w:rPr>
        <w:t xml:space="preserve"> </w:t>
      </w:r>
      <w:r w:rsidR="008A16B6">
        <w:rPr>
          <w:rFonts w:cs="Arial"/>
          <w:szCs w:val="22"/>
        </w:rPr>
        <w:t xml:space="preserve">to assist in identification of </w:t>
      </w:r>
      <w:r w:rsidR="008A16B6">
        <w:t>appropriate</w:t>
      </w:r>
      <w:r>
        <w:t>, risk-based,</w:t>
      </w:r>
      <w:r w:rsidR="008A16B6">
        <w:t xml:space="preserve"> risk management measures</w:t>
      </w:r>
      <w:r>
        <w:t>.</w:t>
      </w:r>
    </w:p>
    <w:p w14:paraId="0EA9D817" w14:textId="65285EB3" w:rsidR="00D30FF4" w:rsidRDefault="00D30FF4" w:rsidP="00034DA1"/>
    <w:p w14:paraId="48446817" w14:textId="53E0F8E0" w:rsidR="00D30FF4" w:rsidRPr="00D30FF4" w:rsidRDefault="00D30FF4" w:rsidP="0029484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rsidRPr="00D30FF4">
        <w:t xml:space="preserve">FSANZ </w:t>
      </w:r>
      <w:r w:rsidR="00BB1E0C">
        <w:t>seeks comments and input from stakeholders to inform its further</w:t>
      </w:r>
      <w:r>
        <w:t xml:space="preserve"> </w:t>
      </w:r>
      <w:r w:rsidRPr="00D30FF4">
        <w:t xml:space="preserve">assessment of the </w:t>
      </w:r>
      <w:r w:rsidRPr="00D30FF4">
        <w:rPr>
          <w:szCs w:val="22"/>
        </w:rPr>
        <w:t xml:space="preserve">berries, leafy vegetables and melon </w:t>
      </w:r>
      <w:r w:rsidRPr="00D30FF4">
        <w:t>sectors</w:t>
      </w:r>
      <w:r w:rsidR="00BB1E0C">
        <w:t>, particularly the following information or data</w:t>
      </w:r>
      <w:r w:rsidRPr="00D30FF4">
        <w:t>:</w:t>
      </w:r>
    </w:p>
    <w:p w14:paraId="035A2881" w14:textId="77777777" w:rsidR="00D30FF4" w:rsidRPr="00D30FF4" w:rsidRDefault="00D30FF4" w:rsidP="0029484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D30FF4">
        <w:t>1.</w:t>
      </w:r>
      <w:r w:rsidRPr="00D30FF4">
        <w:tab/>
        <w:t>T</w:t>
      </w:r>
      <w:r w:rsidRPr="00D30FF4">
        <w:rPr>
          <w:szCs w:val="22"/>
        </w:rPr>
        <w:t xml:space="preserve">echnical data on </w:t>
      </w:r>
      <w:r w:rsidRPr="00D30FF4">
        <w:rPr>
          <w:rFonts w:cs="Arial"/>
          <w:szCs w:val="22"/>
        </w:rPr>
        <w:t>industry production and processing practices</w:t>
      </w:r>
    </w:p>
    <w:p w14:paraId="34D090CA" w14:textId="77777777" w:rsidR="00D30FF4" w:rsidRPr="00D30FF4" w:rsidRDefault="00D30FF4" w:rsidP="0029484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rPr>
          <w:rFonts w:cs="Arial"/>
          <w:szCs w:val="22"/>
        </w:rPr>
      </w:pPr>
      <w:r w:rsidRPr="00D30FF4">
        <w:rPr>
          <w:rFonts w:cs="Arial"/>
          <w:szCs w:val="22"/>
        </w:rPr>
        <w:t>2.</w:t>
      </w:r>
      <w:r w:rsidRPr="00D30FF4">
        <w:rPr>
          <w:rFonts w:cs="Arial"/>
          <w:szCs w:val="22"/>
        </w:rPr>
        <w:tab/>
        <w:t>Efficacy of current risk mitigation measures (including under atypical conditions e.g. extreme weather conditions)</w:t>
      </w:r>
    </w:p>
    <w:p w14:paraId="41B59787" w14:textId="34636BC3" w:rsidR="00D30FF4" w:rsidRDefault="00D30FF4" w:rsidP="0029484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rPr>
          <w:rFonts w:cs="Arial"/>
          <w:szCs w:val="22"/>
        </w:rPr>
      </w:pPr>
      <w:r w:rsidRPr="00D30FF4">
        <w:rPr>
          <w:rFonts w:cs="Arial"/>
          <w:szCs w:val="22"/>
        </w:rPr>
        <w:t>3.</w:t>
      </w:r>
      <w:r w:rsidRPr="00D30FF4">
        <w:rPr>
          <w:rFonts w:cs="Arial"/>
          <w:szCs w:val="22"/>
        </w:rPr>
        <w:tab/>
        <w:t xml:space="preserve">Through-chain microbiological data (e.g. level, frequency and type of microbiological contamination at different production and processing stages or critical control points) </w:t>
      </w:r>
    </w:p>
    <w:p w14:paraId="6529E8E9" w14:textId="77777777" w:rsidR="00294846" w:rsidRPr="00294846" w:rsidRDefault="00294846" w:rsidP="00294846">
      <w:pPr>
        <w:rPr>
          <w:rFonts w:cs="Arial"/>
          <w:szCs w:val="22"/>
        </w:rPr>
      </w:pPr>
    </w:p>
    <w:p w14:paraId="5EBE72AA" w14:textId="78179F62" w:rsidR="007F6DD9" w:rsidRDefault="007F6DD9" w:rsidP="00294846">
      <w:pPr>
        <w:pStyle w:val="Heading2"/>
        <w:keepLines/>
      </w:pPr>
      <w:bookmarkStart w:id="93" w:name="_Toc29288660"/>
      <w:bookmarkStart w:id="94" w:name="_Toc29998541"/>
      <w:bookmarkStart w:id="95" w:name="_Toc27667549"/>
      <w:bookmarkStart w:id="96" w:name="_Toc28953770"/>
      <w:bookmarkStart w:id="97" w:name="_Toc27667545"/>
      <w:bookmarkStart w:id="98" w:name="_Toc28953765"/>
      <w:r>
        <w:t>3.2</w:t>
      </w:r>
      <w:r>
        <w:tab/>
        <w:t>Chemical assessment</w:t>
      </w:r>
      <w:bookmarkEnd w:id="93"/>
      <w:bookmarkEnd w:id="94"/>
    </w:p>
    <w:p w14:paraId="43CDF0F7" w14:textId="03CEC272" w:rsidR="001113D5" w:rsidRDefault="00164877" w:rsidP="00294846">
      <w:pPr>
        <w:keepNext/>
        <w:keepLines/>
      </w:pPr>
      <w:r>
        <w:t xml:space="preserve">As discussed </w:t>
      </w:r>
      <w:r w:rsidR="001113D5">
        <w:t>earlier</w:t>
      </w:r>
      <w:r>
        <w:t>, c</w:t>
      </w:r>
      <w:r w:rsidRPr="00BC2973">
        <w:t xml:space="preserve">hemical hazards are generally </w:t>
      </w:r>
      <w:r>
        <w:t xml:space="preserve">considered </w:t>
      </w:r>
      <w:r w:rsidRPr="00BC2973">
        <w:t>very low</w:t>
      </w:r>
      <w:r>
        <w:t xml:space="preserve"> risk, and well managed,</w:t>
      </w:r>
      <w:r w:rsidRPr="00BC2973">
        <w:t xml:space="preserve"> in Australian food production</w:t>
      </w:r>
      <w:r>
        <w:t>.</w:t>
      </w:r>
      <w:r w:rsidR="001113D5">
        <w:t xml:space="preserve"> A</w:t>
      </w:r>
      <w:r w:rsidR="001113D5" w:rsidRPr="007A0D28">
        <w:t>gricultural and veterinary chemicals</w:t>
      </w:r>
      <w:r w:rsidR="001113D5">
        <w:t xml:space="preserve"> (Agvet chemicals)</w:t>
      </w:r>
      <w:r w:rsidR="001113D5" w:rsidRPr="007A0D28">
        <w:t xml:space="preserve"> </w:t>
      </w:r>
      <w:r w:rsidR="001113D5">
        <w:t xml:space="preserve">are regulated under national and </w:t>
      </w:r>
      <w:r w:rsidR="001113D5" w:rsidRPr="007A0D28">
        <w:t>st</w:t>
      </w:r>
      <w:r w:rsidR="001113D5">
        <w:t>ate-based laws</w:t>
      </w:r>
      <w:r w:rsidR="001113D5" w:rsidRPr="007A0D28">
        <w:t>.</w:t>
      </w:r>
      <w:r w:rsidR="001113D5">
        <w:t xml:space="preserve"> In the Code, maximum residue limits and contaminants are covered under </w:t>
      </w:r>
      <w:r w:rsidR="001113D5" w:rsidRPr="00E376CA">
        <w:t>Standard 1.4.1</w:t>
      </w:r>
      <w:r w:rsidR="001113D5">
        <w:t xml:space="preserve"> -</w:t>
      </w:r>
      <w:r w:rsidR="001113D5" w:rsidRPr="00E376CA">
        <w:t xml:space="preserve"> Contaminants and natural toxicants</w:t>
      </w:r>
      <w:r w:rsidR="001113D5">
        <w:rPr>
          <w:i/>
        </w:rPr>
        <w:t xml:space="preserve"> </w:t>
      </w:r>
      <w:r w:rsidR="001113D5">
        <w:t xml:space="preserve">and </w:t>
      </w:r>
      <w:r w:rsidR="001113D5" w:rsidRPr="00E376CA">
        <w:t xml:space="preserve">Standard 1.4.2 </w:t>
      </w:r>
      <w:r w:rsidR="001113D5">
        <w:t xml:space="preserve">- </w:t>
      </w:r>
      <w:r w:rsidR="001113D5" w:rsidRPr="00E376CA">
        <w:t>Agvet chemicals</w:t>
      </w:r>
      <w:r w:rsidR="001113D5" w:rsidRPr="006B1184">
        <w:t>.</w:t>
      </w:r>
      <w:r w:rsidR="001113D5">
        <w:t xml:space="preserve"> </w:t>
      </w:r>
    </w:p>
    <w:p w14:paraId="0AE92C7F" w14:textId="289DD884" w:rsidR="001113D5" w:rsidRDefault="001113D5" w:rsidP="001113D5"/>
    <w:p w14:paraId="4A8802CA" w14:textId="2C8321B4" w:rsidR="001113D5" w:rsidRDefault="001113D5" w:rsidP="001113D5">
      <w:r>
        <w:t>Management of chemicals is discussed in section 2.3 of SD2</w:t>
      </w:r>
      <w:r w:rsidR="003C5B20">
        <w:t xml:space="preserve"> and in P1015. Based on available information, no new issues have been identified that would warrant further consideration.</w:t>
      </w:r>
    </w:p>
    <w:p w14:paraId="2D8B7121" w14:textId="14CC9A06" w:rsidR="00672F85" w:rsidRPr="00927201" w:rsidRDefault="00672F85" w:rsidP="00006F4A">
      <w:pPr>
        <w:pStyle w:val="Heading2"/>
      </w:pPr>
      <w:bookmarkStart w:id="99" w:name="_Toc29288661"/>
      <w:bookmarkStart w:id="100" w:name="_Toc29998542"/>
      <w:r>
        <w:lastRenderedPageBreak/>
        <w:t>3.3</w:t>
      </w:r>
      <w:r>
        <w:tab/>
        <w:t>Industry o</w:t>
      </w:r>
      <w:r w:rsidRPr="00927201">
        <w:t>verview</w:t>
      </w:r>
      <w:bookmarkEnd w:id="95"/>
      <w:bookmarkEnd w:id="96"/>
      <w:bookmarkEnd w:id="99"/>
      <w:bookmarkEnd w:id="100"/>
    </w:p>
    <w:p w14:paraId="3D130874" w14:textId="5396EDBA" w:rsidR="00672F85" w:rsidRDefault="00672F85" w:rsidP="00672F85">
      <w:pPr>
        <w:rPr>
          <w:rFonts w:cs="Arial"/>
          <w:lang w:bidi="ar-SA"/>
        </w:rPr>
      </w:pPr>
      <w:r>
        <w:rPr>
          <w:szCs w:val="22"/>
        </w:rPr>
        <w:t>A</w:t>
      </w:r>
      <w:r>
        <w:rPr>
          <w:rFonts w:cs="Arial"/>
          <w:lang w:bidi="ar-SA"/>
        </w:rPr>
        <w:t xml:space="preserve">n </w:t>
      </w:r>
      <w:r w:rsidRPr="007452C1">
        <w:rPr>
          <w:rFonts w:cs="Arial"/>
          <w:lang w:bidi="ar-SA"/>
        </w:rPr>
        <w:t xml:space="preserve">overview </w:t>
      </w:r>
      <w:r>
        <w:rPr>
          <w:rFonts w:cs="Arial"/>
          <w:lang w:bidi="ar-SA"/>
        </w:rPr>
        <w:t xml:space="preserve">of the Australian production of </w:t>
      </w:r>
      <w:r w:rsidRPr="001C1590">
        <w:t>melons, berries and leafy vegetables</w:t>
      </w:r>
      <w:r>
        <w:t xml:space="preserve"> is provided in SD3. </w:t>
      </w:r>
      <w:r w:rsidRPr="001C1590">
        <w:t xml:space="preserve">Information includes </w:t>
      </w:r>
      <w:r>
        <w:t>how</w:t>
      </w:r>
      <w:r w:rsidRPr="001C1590">
        <w:t xml:space="preserve"> </w:t>
      </w:r>
      <w:r>
        <w:t xml:space="preserve">and </w:t>
      </w:r>
      <w:r w:rsidRPr="001C1590">
        <w:t>where the</w:t>
      </w:r>
      <w:r>
        <w:t>se</w:t>
      </w:r>
      <w:r w:rsidRPr="001C1590">
        <w:t xml:space="preserve"> commodities are grown</w:t>
      </w:r>
      <w:r>
        <w:t xml:space="preserve"> and traded</w:t>
      </w:r>
      <w:r w:rsidR="003E175E">
        <w:t>, p</w:t>
      </w:r>
      <w:r w:rsidRPr="001C1590">
        <w:t>roduction volumes, import</w:t>
      </w:r>
      <w:r>
        <w:t>s</w:t>
      </w:r>
      <w:r w:rsidRPr="001C1590">
        <w:t xml:space="preserve"> and export</w:t>
      </w:r>
      <w:r>
        <w:t>s</w:t>
      </w:r>
      <w:r>
        <w:rPr>
          <w:rFonts w:cs="Arial"/>
          <w:lang w:bidi="ar-SA"/>
        </w:rPr>
        <w:t xml:space="preserve">. </w:t>
      </w:r>
    </w:p>
    <w:p w14:paraId="1852C280" w14:textId="77777777" w:rsidR="002304CC" w:rsidRDefault="002304CC" w:rsidP="00672F85">
      <w:pPr>
        <w:rPr>
          <w:rFonts w:cs="Arial"/>
          <w:lang w:bidi="ar-SA"/>
        </w:rPr>
      </w:pPr>
    </w:p>
    <w:p w14:paraId="6A088E85" w14:textId="5A13C4BB" w:rsidR="00672F85" w:rsidRPr="007068A0" w:rsidRDefault="00672F85" w:rsidP="00672F85">
      <w:pPr>
        <w:rPr>
          <w:rFonts w:cs="Arial"/>
          <w:lang w:bidi="ar-SA"/>
        </w:rPr>
      </w:pPr>
      <w:r w:rsidRPr="007068A0">
        <w:rPr>
          <w:rFonts w:cs="Arial"/>
          <w:lang w:bidi="ar-SA"/>
        </w:rPr>
        <w:t xml:space="preserve">Produce in </w:t>
      </w:r>
      <w:r w:rsidR="00FD36F3">
        <w:rPr>
          <w:rFonts w:cs="Arial"/>
          <w:lang w:bidi="ar-SA"/>
        </w:rPr>
        <w:t>the</w:t>
      </w:r>
      <w:r w:rsidR="002304CC">
        <w:rPr>
          <w:rFonts w:cs="Arial"/>
          <w:lang w:bidi="ar-SA"/>
        </w:rPr>
        <w:t xml:space="preserve">se </w:t>
      </w:r>
      <w:r w:rsidRPr="007068A0">
        <w:rPr>
          <w:rFonts w:cs="Arial"/>
          <w:lang w:bidi="ar-SA"/>
        </w:rPr>
        <w:t xml:space="preserve">sectors is grown in most or all states in Australia, enabling a year-round supply. Most produce is grown in open field systems, and is often picked and packed by hand. Product receives minimal processing (e.g. cooling, washing, drying, packaging) before distribution to wholesalers and retailers. </w:t>
      </w:r>
    </w:p>
    <w:p w14:paraId="65506546" w14:textId="77777777" w:rsidR="00672F85" w:rsidRDefault="00672F85" w:rsidP="00672F85">
      <w:pPr>
        <w:rPr>
          <w:rFonts w:cs="Arial"/>
          <w:lang w:bidi="ar-SA"/>
        </w:rPr>
      </w:pPr>
    </w:p>
    <w:p w14:paraId="584A09EA" w14:textId="0CEA3053" w:rsidR="00672F85" w:rsidRPr="007068A0" w:rsidRDefault="00E929A7" w:rsidP="00672F85">
      <w:pPr>
        <w:rPr>
          <w:rFonts w:cs="Arial"/>
          <w:lang w:bidi="ar-SA"/>
        </w:rPr>
      </w:pPr>
      <w:r>
        <w:rPr>
          <w:rFonts w:cs="Arial"/>
          <w:lang w:bidi="ar-SA"/>
        </w:rPr>
        <w:t>Most</w:t>
      </w:r>
      <w:r w:rsidR="00672F85" w:rsidRPr="007068A0">
        <w:rPr>
          <w:rFonts w:cs="Arial"/>
          <w:lang w:bidi="ar-SA"/>
        </w:rPr>
        <w:t xml:space="preserve"> produc</w:t>
      </w:r>
      <w:r>
        <w:rPr>
          <w:rFonts w:cs="Arial"/>
          <w:lang w:bidi="ar-SA"/>
        </w:rPr>
        <w:t>e</w:t>
      </w:r>
      <w:r w:rsidR="00672F85" w:rsidRPr="007068A0">
        <w:rPr>
          <w:rFonts w:cs="Arial"/>
          <w:lang w:bidi="ar-SA"/>
        </w:rPr>
        <w:t xml:space="preserve"> is distributed as fresh product to domestic markets. Some product is further processed (e.g. fruit cut or frozen, herbs trimmed and gas-packaged). Relatively small proportions are exported</w:t>
      </w:r>
      <w:r w:rsidR="00DA53DE">
        <w:rPr>
          <w:rFonts w:cs="Arial"/>
          <w:lang w:bidi="ar-SA"/>
        </w:rPr>
        <w:t>,</w:t>
      </w:r>
      <w:r w:rsidR="00672F85" w:rsidRPr="007068A0">
        <w:rPr>
          <w:rFonts w:cs="Arial"/>
          <w:lang w:bidi="ar-SA"/>
        </w:rPr>
        <w:t xml:space="preserve"> </w:t>
      </w:r>
      <w:r>
        <w:rPr>
          <w:rFonts w:cs="Arial"/>
          <w:lang w:bidi="ar-SA"/>
        </w:rPr>
        <w:t>mostly</w:t>
      </w:r>
      <w:r w:rsidR="00672F85" w:rsidRPr="007068A0">
        <w:rPr>
          <w:rFonts w:cs="Arial"/>
          <w:lang w:bidi="ar-SA"/>
        </w:rPr>
        <w:t xml:space="preserve"> melons and strawberries. Minimal volumes are imported</w:t>
      </w:r>
      <w:r w:rsidR="00DA53DE">
        <w:rPr>
          <w:rFonts w:cs="Arial"/>
          <w:lang w:bidi="ar-SA"/>
        </w:rPr>
        <w:t>,</w:t>
      </w:r>
      <w:r w:rsidR="00672F85" w:rsidRPr="007068A0">
        <w:rPr>
          <w:rFonts w:cs="Arial"/>
          <w:lang w:bidi="ar-SA"/>
        </w:rPr>
        <w:t xml:space="preserve"> mostly frozen strawberries and rubus berries.</w:t>
      </w:r>
    </w:p>
    <w:p w14:paraId="2B6B4DE5" w14:textId="77777777" w:rsidR="00672F85" w:rsidRDefault="00672F85" w:rsidP="00672F85">
      <w:pPr>
        <w:rPr>
          <w:rFonts w:cs="Arial"/>
          <w:lang w:bidi="ar-SA"/>
        </w:rPr>
      </w:pPr>
    </w:p>
    <w:p w14:paraId="4E9815A5" w14:textId="77777777" w:rsidR="00672F85" w:rsidRDefault="00672F85" w:rsidP="00672F85">
      <w:pPr>
        <w:rPr>
          <w:lang w:eastAsia="en-AU" w:bidi="ar-SA"/>
        </w:rPr>
      </w:pPr>
      <w:r>
        <w:rPr>
          <w:lang w:eastAsia="en-AU" w:bidi="ar-SA"/>
        </w:rPr>
        <w:t xml:space="preserve">For the 2017/18 financial year, Australia produced a total of: </w:t>
      </w:r>
    </w:p>
    <w:p w14:paraId="3B833169" w14:textId="77777777" w:rsidR="00672F85" w:rsidRDefault="00672F85" w:rsidP="00443C43">
      <w:pPr>
        <w:pStyle w:val="ListParagraph"/>
        <w:numPr>
          <w:ilvl w:val="0"/>
          <w:numId w:val="11"/>
        </w:numPr>
      </w:pPr>
      <w:r w:rsidRPr="00680982">
        <w:rPr>
          <w:rFonts w:cs="Arial"/>
          <w:lang w:bidi="ar-SA"/>
        </w:rPr>
        <w:t>215,519</w:t>
      </w:r>
      <w:r>
        <w:rPr>
          <w:rFonts w:cs="Arial"/>
          <w:lang w:bidi="ar-SA"/>
        </w:rPr>
        <w:t xml:space="preserve"> tonnes of melons </w:t>
      </w:r>
      <w:r>
        <w:rPr>
          <w:lang w:eastAsia="en-AU" w:bidi="ar-SA"/>
        </w:rPr>
        <w:t xml:space="preserve">(including watermelon and muskmelons) </w:t>
      </w:r>
      <w:r>
        <w:rPr>
          <w:rFonts w:cs="Arial"/>
          <w:lang w:bidi="ar-SA"/>
        </w:rPr>
        <w:t xml:space="preserve">with a production value of $124.2 million </w:t>
      </w:r>
    </w:p>
    <w:p w14:paraId="330B5426" w14:textId="77777777" w:rsidR="00672F85" w:rsidRPr="001C1590" w:rsidRDefault="00672F85" w:rsidP="00443C43">
      <w:pPr>
        <w:pStyle w:val="ListParagraph"/>
        <w:numPr>
          <w:ilvl w:val="0"/>
          <w:numId w:val="11"/>
        </w:numPr>
      </w:pPr>
      <w:r>
        <w:rPr>
          <w:lang w:bidi="ar-SA"/>
        </w:rPr>
        <w:t xml:space="preserve">116,585 tonnes of berries </w:t>
      </w:r>
      <w:r>
        <w:rPr>
          <w:lang w:eastAsia="en-AU" w:bidi="ar-SA"/>
        </w:rPr>
        <w:t>(including strawberries, blueberries, blackberries</w:t>
      </w:r>
      <w:r w:rsidRPr="006846CA">
        <w:rPr>
          <w:lang w:eastAsia="en-AU" w:bidi="ar-SA"/>
        </w:rPr>
        <w:t xml:space="preserve"> and raspberries</w:t>
      </w:r>
      <w:r>
        <w:rPr>
          <w:lang w:eastAsia="en-AU" w:bidi="ar-SA"/>
        </w:rPr>
        <w:t xml:space="preserve">) </w:t>
      </w:r>
      <w:r>
        <w:rPr>
          <w:lang w:bidi="ar-SA"/>
        </w:rPr>
        <w:t>with a production value of $911.4 million</w:t>
      </w:r>
    </w:p>
    <w:p w14:paraId="54A808D3" w14:textId="77777777" w:rsidR="00672F85" w:rsidRDefault="00672F85" w:rsidP="00443C43">
      <w:pPr>
        <w:pStyle w:val="ListParagraph"/>
        <w:numPr>
          <w:ilvl w:val="0"/>
          <w:numId w:val="11"/>
        </w:numPr>
      </w:pPr>
      <w:r>
        <w:rPr>
          <w:lang w:eastAsia="en-AU" w:bidi="ar-SA"/>
        </w:rPr>
        <w:t>205,156 tonnes of leafy vegetables (including head lettuce, leafy salad vegetables and leafy herbs) valued at $672.7 million.</w:t>
      </w:r>
    </w:p>
    <w:p w14:paraId="4AF92175" w14:textId="77777777" w:rsidR="00FD36F3" w:rsidRDefault="00FD36F3" w:rsidP="00672F85">
      <w:pPr>
        <w:rPr>
          <w:szCs w:val="22"/>
        </w:rPr>
      </w:pPr>
    </w:p>
    <w:p w14:paraId="13690261" w14:textId="1D95172B" w:rsidR="00672F85" w:rsidRPr="00032A61" w:rsidRDefault="00672F85" w:rsidP="00672F85">
      <w:pPr>
        <w:keepNext/>
        <w:keepLines/>
        <w:pBdr>
          <w:top w:val="single" w:sz="4" w:space="6" w:color="auto"/>
          <w:left w:val="single" w:sz="4" w:space="0" w:color="auto"/>
          <w:bottom w:val="single" w:sz="4" w:space="6" w:color="auto"/>
          <w:right w:val="single" w:sz="4" w:space="4" w:color="auto"/>
        </w:pBdr>
        <w:shd w:val="clear" w:color="auto" w:fill="F2F2F2" w:themeFill="background1" w:themeFillShade="F2"/>
      </w:pPr>
      <w:r w:rsidRPr="00032A61">
        <w:t xml:space="preserve">FSANZ welcomes information in submissions that can further inform us of the </w:t>
      </w:r>
      <w:r w:rsidR="002304CC" w:rsidRPr="00032A61">
        <w:t>number, size and location</w:t>
      </w:r>
      <w:r w:rsidRPr="00032A61">
        <w:t xml:space="preserve"> of producers in these sectors.</w:t>
      </w:r>
    </w:p>
    <w:bookmarkEnd w:id="97"/>
    <w:bookmarkEnd w:id="98"/>
    <w:p w14:paraId="25257E76" w14:textId="77777777" w:rsidR="0011532A" w:rsidRPr="005D2575" w:rsidRDefault="0011532A" w:rsidP="007A6FD4">
      <w:pPr>
        <w:rPr>
          <w:lang w:bidi="ar-SA"/>
        </w:rPr>
      </w:pPr>
    </w:p>
    <w:p w14:paraId="78AAC332" w14:textId="5D6FD9FA" w:rsidR="004F69F6" w:rsidRPr="00932F14" w:rsidRDefault="00857EC6" w:rsidP="00857EC6">
      <w:pPr>
        <w:pStyle w:val="Heading1"/>
      </w:pPr>
      <w:bookmarkStart w:id="101" w:name="_Toc175381442"/>
      <w:bookmarkStart w:id="102" w:name="_Toc286391010"/>
      <w:bookmarkStart w:id="103" w:name="_Toc300933426"/>
      <w:bookmarkStart w:id="104" w:name="_Toc27667547"/>
      <w:bookmarkStart w:id="105" w:name="_Toc28953767"/>
      <w:bookmarkStart w:id="106" w:name="_Toc29288663"/>
      <w:bookmarkStart w:id="107" w:name="_Toc29998543"/>
      <w:r>
        <w:t>4</w:t>
      </w:r>
      <w:r w:rsidR="00271F00">
        <w:tab/>
      </w:r>
      <w:bookmarkEnd w:id="101"/>
      <w:bookmarkEnd w:id="102"/>
      <w:bookmarkEnd w:id="103"/>
      <w:r w:rsidR="0045556F">
        <w:t>R</w:t>
      </w:r>
      <w:r w:rsidR="00707E72">
        <w:t>isk m</w:t>
      </w:r>
      <w:r w:rsidR="008A35FB">
        <w:t>anagement</w:t>
      </w:r>
      <w:bookmarkEnd w:id="104"/>
      <w:bookmarkEnd w:id="105"/>
      <w:bookmarkEnd w:id="106"/>
      <w:bookmarkEnd w:id="107"/>
    </w:p>
    <w:p w14:paraId="18457FFA" w14:textId="2A73328F" w:rsidR="007808B2" w:rsidRDefault="007808B2" w:rsidP="007808B2">
      <w:pPr>
        <w:widowControl/>
        <w:autoSpaceDE w:val="0"/>
        <w:autoSpaceDN w:val="0"/>
        <w:adjustRightInd w:val="0"/>
        <w:rPr>
          <w:rFonts w:cs="Arial"/>
          <w:szCs w:val="22"/>
          <w:lang w:eastAsia="en-GB" w:bidi="ar-SA"/>
        </w:rPr>
      </w:pPr>
      <w:bookmarkStart w:id="108" w:name="_Toc300761892"/>
      <w:bookmarkStart w:id="109" w:name="_Toc300933421"/>
      <w:bookmarkStart w:id="110" w:name="_Toc27667530"/>
      <w:bookmarkStart w:id="111" w:name="_Toc28953747"/>
      <w:bookmarkStart w:id="112" w:name="_Toc29288641"/>
      <w:bookmarkStart w:id="113" w:name="_Toc29288664"/>
      <w:bookmarkStart w:id="114" w:name="_Toc300761910"/>
      <w:r>
        <w:rPr>
          <w:rFonts w:cs="Arial"/>
          <w:szCs w:val="22"/>
          <w:lang w:eastAsia="en-GB" w:bidi="ar-SA"/>
        </w:rPr>
        <w:t xml:space="preserve">Effective food safety management is based on preventing food safety problems and being able to quickly respond in the event of outbreaks or potential problems. </w:t>
      </w:r>
      <w:r w:rsidRPr="00E85523">
        <w:rPr>
          <w:rFonts w:cs="Arial"/>
          <w:szCs w:val="22"/>
          <w:lang w:eastAsia="en-GB" w:bidi="ar-SA"/>
        </w:rPr>
        <w:t>The current food safety management framework in Australia focus</w:t>
      </w:r>
      <w:r>
        <w:rPr>
          <w:rFonts w:cs="Arial"/>
          <w:szCs w:val="22"/>
          <w:lang w:eastAsia="en-GB" w:bidi="ar-SA"/>
        </w:rPr>
        <w:t xml:space="preserve">es </w:t>
      </w:r>
      <w:r w:rsidRPr="00E85523">
        <w:rPr>
          <w:rFonts w:cs="Arial"/>
          <w:szCs w:val="22"/>
          <w:lang w:eastAsia="en-GB" w:bidi="ar-SA"/>
        </w:rPr>
        <w:t>on food safety outcomes rather than prescriptive requirements</w:t>
      </w:r>
      <w:r>
        <w:rPr>
          <w:rFonts w:cs="Arial"/>
          <w:szCs w:val="22"/>
          <w:lang w:eastAsia="en-GB" w:bidi="ar-SA"/>
        </w:rPr>
        <w:t>. It</w:t>
      </w:r>
      <w:r w:rsidRPr="00E85523">
        <w:rPr>
          <w:rFonts w:cs="Arial"/>
          <w:szCs w:val="22"/>
          <w:lang w:eastAsia="en-GB" w:bidi="ar-SA"/>
        </w:rPr>
        <w:t xml:space="preserve"> recognis</w:t>
      </w:r>
      <w:r>
        <w:rPr>
          <w:rFonts w:cs="Arial"/>
          <w:szCs w:val="22"/>
          <w:lang w:eastAsia="en-GB" w:bidi="ar-SA"/>
        </w:rPr>
        <w:t>es</w:t>
      </w:r>
      <w:r w:rsidRPr="00E85523">
        <w:rPr>
          <w:rFonts w:cs="Arial"/>
          <w:szCs w:val="22"/>
          <w:lang w:eastAsia="en-GB" w:bidi="ar-SA"/>
        </w:rPr>
        <w:t xml:space="preserve"> that the</w:t>
      </w:r>
      <w:r>
        <w:rPr>
          <w:rFonts w:cs="Arial"/>
          <w:szCs w:val="22"/>
          <w:lang w:eastAsia="en-GB" w:bidi="ar-SA"/>
        </w:rPr>
        <w:t xml:space="preserve"> </w:t>
      </w:r>
      <w:r w:rsidRPr="00E85523">
        <w:rPr>
          <w:rFonts w:cs="Arial"/>
          <w:szCs w:val="22"/>
          <w:lang w:eastAsia="en-GB" w:bidi="ar-SA"/>
        </w:rPr>
        <w:t>production of safe food can be achieved in a variety of ways</w:t>
      </w:r>
      <w:r>
        <w:rPr>
          <w:rFonts w:cs="Arial"/>
          <w:szCs w:val="22"/>
          <w:lang w:eastAsia="en-GB" w:bidi="ar-SA"/>
        </w:rPr>
        <w:t>,</w:t>
      </w:r>
      <w:r w:rsidRPr="00E85523">
        <w:rPr>
          <w:rFonts w:cs="Arial"/>
          <w:szCs w:val="22"/>
          <w:lang w:eastAsia="en-GB" w:bidi="ar-SA"/>
        </w:rPr>
        <w:t xml:space="preserve"> </w:t>
      </w:r>
      <w:r>
        <w:rPr>
          <w:rFonts w:cs="Arial"/>
          <w:szCs w:val="22"/>
          <w:lang w:eastAsia="en-GB" w:bidi="ar-SA"/>
        </w:rPr>
        <w:t>which may be different for different businesses. The framework identifies a range of</w:t>
      </w:r>
      <w:r w:rsidRPr="00E85523">
        <w:rPr>
          <w:rFonts w:cs="Arial"/>
          <w:szCs w:val="22"/>
          <w:lang w:eastAsia="en-GB" w:bidi="ar-SA"/>
        </w:rPr>
        <w:t xml:space="preserve"> management options</w:t>
      </w:r>
      <w:r>
        <w:rPr>
          <w:rFonts w:cs="Arial"/>
          <w:szCs w:val="22"/>
          <w:lang w:eastAsia="en-GB" w:bidi="ar-SA"/>
        </w:rPr>
        <w:t xml:space="preserve"> including legislation, safety schemes, industry codes, etc. </w:t>
      </w:r>
    </w:p>
    <w:p w14:paraId="1A94EC57" w14:textId="77777777" w:rsidR="007808B2" w:rsidRDefault="007808B2" w:rsidP="007808B2">
      <w:pPr>
        <w:widowControl/>
        <w:autoSpaceDE w:val="0"/>
        <w:autoSpaceDN w:val="0"/>
        <w:adjustRightInd w:val="0"/>
        <w:rPr>
          <w:rFonts w:cs="Arial"/>
          <w:szCs w:val="22"/>
          <w:lang w:eastAsia="en-GB" w:bidi="ar-SA"/>
        </w:rPr>
      </w:pPr>
    </w:p>
    <w:p w14:paraId="07505878" w14:textId="7C386558" w:rsidR="007808B2" w:rsidRDefault="007808B2" w:rsidP="007808B2">
      <w:pPr>
        <w:widowControl/>
        <w:autoSpaceDE w:val="0"/>
        <w:autoSpaceDN w:val="0"/>
        <w:adjustRightInd w:val="0"/>
        <w:rPr>
          <w:rFonts w:cs="Arial"/>
          <w:szCs w:val="22"/>
          <w:lang w:eastAsia="en-GB" w:bidi="ar-SA"/>
        </w:rPr>
      </w:pPr>
      <w:r>
        <w:lastRenderedPageBreak/>
        <w:t>A more detailed discussion of existing food safety management for horticultural produce is provided in SD2.</w:t>
      </w:r>
    </w:p>
    <w:p w14:paraId="55819096" w14:textId="174DC61F" w:rsidR="008B6C00" w:rsidRDefault="00460141" w:rsidP="008B6C00">
      <w:pPr>
        <w:pStyle w:val="Heading2"/>
      </w:pPr>
      <w:bookmarkStart w:id="115" w:name="_Toc29998544"/>
      <w:r>
        <w:t>4</w:t>
      </w:r>
      <w:r w:rsidR="008B6C00">
        <w:t>.1</w:t>
      </w:r>
      <w:r w:rsidR="008B6C00">
        <w:tab/>
      </w:r>
      <w:bookmarkEnd w:id="108"/>
      <w:bookmarkEnd w:id="109"/>
      <w:r>
        <w:t xml:space="preserve">Regulatory </w:t>
      </w:r>
      <w:r w:rsidR="008B6C00">
        <w:t>requirements</w:t>
      </w:r>
      <w:r w:rsidR="008B6C00">
        <w:rPr>
          <w:rStyle w:val="FootnoteReference"/>
        </w:rPr>
        <w:footnoteReference w:id="12"/>
      </w:r>
      <w:bookmarkEnd w:id="110"/>
      <w:bookmarkEnd w:id="111"/>
      <w:bookmarkEnd w:id="112"/>
      <w:bookmarkEnd w:id="115"/>
    </w:p>
    <w:p w14:paraId="6F43AE26" w14:textId="643F5C6D" w:rsidR="00460141" w:rsidRDefault="00460141" w:rsidP="007808B2">
      <w:pPr>
        <w:widowControl/>
        <w:autoSpaceDE w:val="0"/>
        <w:autoSpaceDN w:val="0"/>
        <w:adjustRightInd w:val="0"/>
      </w:pPr>
      <w:r>
        <w:t>Standards in the Code</w:t>
      </w:r>
      <w:r w:rsidRPr="00EE2B8B">
        <w:t xml:space="preserve"> are </w:t>
      </w:r>
      <w:r>
        <w:t xml:space="preserve">implemented and enforced at the state and territory level in Australia. </w:t>
      </w:r>
      <w:r w:rsidR="00BB1E0C">
        <w:t>An intergovernmental agreement generally requires j</w:t>
      </w:r>
      <w:r>
        <w:t xml:space="preserve">urisdictions to adopt model food </w:t>
      </w:r>
      <w:r w:rsidR="00BB1E0C">
        <w:t xml:space="preserve">laws </w:t>
      </w:r>
      <w:r>
        <w:t xml:space="preserve">to ensure consistent </w:t>
      </w:r>
      <w:r w:rsidR="00BB1E0C">
        <w:t xml:space="preserve">regulation </w:t>
      </w:r>
      <w:r>
        <w:t xml:space="preserve">across the country. There are currently no </w:t>
      </w:r>
      <w:r w:rsidR="00BB3535">
        <w:t xml:space="preserve">uniform and consistent </w:t>
      </w:r>
      <w:r>
        <w:t>national regulatory food safety requirements applying to the primary production and processing of horticultural produce, except for seed sprouts</w:t>
      </w:r>
      <w:r w:rsidR="007808B2">
        <w:t xml:space="preserve"> (see below)</w:t>
      </w:r>
      <w:r>
        <w:t xml:space="preserve">. </w:t>
      </w:r>
    </w:p>
    <w:p w14:paraId="72008510" w14:textId="63F8D05E" w:rsidR="008B6C00" w:rsidRDefault="00460141" w:rsidP="008B6C00">
      <w:pPr>
        <w:pStyle w:val="Heading3"/>
      </w:pPr>
      <w:bookmarkStart w:id="116" w:name="_Toc27667531"/>
      <w:bookmarkStart w:id="117" w:name="_Toc28953748"/>
      <w:bookmarkStart w:id="118" w:name="_Toc29288642"/>
      <w:bookmarkStart w:id="119" w:name="_Toc29998545"/>
      <w:r>
        <w:t>4</w:t>
      </w:r>
      <w:r w:rsidR="008B6C00">
        <w:t>.1.1</w:t>
      </w:r>
      <w:r w:rsidR="008B6C00">
        <w:tab/>
        <w:t>Australia New Zealand Food Standards Code</w:t>
      </w:r>
      <w:bookmarkEnd w:id="116"/>
      <w:bookmarkEnd w:id="117"/>
      <w:bookmarkEnd w:id="118"/>
      <w:bookmarkEnd w:id="119"/>
    </w:p>
    <w:p w14:paraId="18FDA3B0" w14:textId="77777777" w:rsidR="008B6C00" w:rsidRDefault="008B6C00" w:rsidP="008B6C00">
      <w:r>
        <w:t xml:space="preserve">The Code is a collection of food regulatory measures given effect by state, territory or other Commonwealth law. The state and territory </w:t>
      </w:r>
      <w:r w:rsidRPr="00340A06">
        <w:t xml:space="preserve">food laws provide the basis for nationally consistent application and implementation of </w:t>
      </w:r>
      <w:r>
        <w:t xml:space="preserve">food </w:t>
      </w:r>
      <w:r w:rsidRPr="00340A06">
        <w:t xml:space="preserve">regulatory </w:t>
      </w:r>
      <w:r>
        <w:t>measures in the Code</w:t>
      </w:r>
      <w:r w:rsidRPr="00340A06">
        <w:t>.</w:t>
      </w:r>
    </w:p>
    <w:p w14:paraId="557D4791" w14:textId="77777777" w:rsidR="008B6C00" w:rsidRDefault="008B6C00" w:rsidP="008B6C00"/>
    <w:p w14:paraId="422F5B18" w14:textId="77777777" w:rsidR="008B6C00" w:rsidRDefault="008B6C00" w:rsidP="008B6C00">
      <w:r>
        <w:t>With the exception of seed sprouts, there are</w:t>
      </w:r>
      <w:r w:rsidRPr="00EE2B8B">
        <w:t xml:space="preserve"> </w:t>
      </w:r>
      <w:r>
        <w:t xml:space="preserve">no specific </w:t>
      </w:r>
      <w:r w:rsidRPr="00EE2B8B">
        <w:t xml:space="preserve">requirements </w:t>
      </w:r>
      <w:r>
        <w:t xml:space="preserve">in the Code </w:t>
      </w:r>
      <w:r w:rsidRPr="00EE2B8B">
        <w:t>applying to the primary production and processing of horticultural products</w:t>
      </w:r>
      <w:r>
        <w:t xml:space="preserve">. </w:t>
      </w:r>
    </w:p>
    <w:p w14:paraId="2DC68442" w14:textId="77777777" w:rsidR="008B6C00" w:rsidRDefault="008B6C00" w:rsidP="008B6C00"/>
    <w:p w14:paraId="33CC97F7" w14:textId="41636E88" w:rsidR="008B6C00" w:rsidRDefault="008B6C00" w:rsidP="008B6C00">
      <w:r>
        <w:t>A</w:t>
      </w:r>
      <w:r w:rsidRPr="00C75ABD">
        <w:t xml:space="preserve"> number of other standards </w:t>
      </w:r>
      <w:r>
        <w:t xml:space="preserve">exist in the Code which are generally </w:t>
      </w:r>
      <w:r w:rsidRPr="00C75ABD">
        <w:t>relevan</w:t>
      </w:r>
      <w:r>
        <w:t>t</w:t>
      </w:r>
      <w:r w:rsidRPr="00C75ABD">
        <w:t xml:space="preserve"> to horticultural products</w:t>
      </w:r>
      <w:r>
        <w:t xml:space="preserve">. These include labelling, use of food additives and processing aids, maximum levels of contaminants and natural toxicants, and </w:t>
      </w:r>
      <w:r w:rsidRPr="00FE3714">
        <w:t xml:space="preserve">maximum </w:t>
      </w:r>
      <w:r>
        <w:t>residue</w:t>
      </w:r>
      <w:r w:rsidRPr="00FE3714">
        <w:t xml:space="preserve"> limits for agricultural and veterinary chemical residues in food</w:t>
      </w:r>
      <w:r>
        <w:t>. These standards were discussed in detail in P1015 SD1</w:t>
      </w:r>
      <w:r w:rsidR="00BB3535">
        <w:rPr>
          <w:rStyle w:val="FootnoteReference"/>
        </w:rPr>
        <w:footnoteReference w:id="13"/>
      </w:r>
      <w:r>
        <w:t xml:space="preserve"> and remain relevant.</w:t>
      </w:r>
    </w:p>
    <w:p w14:paraId="4AEEBD37" w14:textId="77777777" w:rsidR="008B6C00" w:rsidRDefault="008B6C00" w:rsidP="008B6C00"/>
    <w:p w14:paraId="43DDC2B1" w14:textId="77777777" w:rsidR="008B6C00" w:rsidRDefault="008B6C00" w:rsidP="008B6C00">
      <w:pPr>
        <w:rPr>
          <w:rFonts w:cs="Arial"/>
        </w:rPr>
      </w:pPr>
      <w:r w:rsidRPr="00963F2B">
        <w:rPr>
          <w:rFonts w:cs="Arial"/>
        </w:rPr>
        <w:t>Food safety is covered by several standards in the Code.</w:t>
      </w:r>
      <w:r>
        <w:rPr>
          <w:rFonts w:cs="Arial"/>
        </w:rPr>
        <w:t xml:space="preserve"> </w:t>
      </w:r>
      <w:r w:rsidRPr="007601C6">
        <w:rPr>
          <w:rFonts w:cs="Arial"/>
        </w:rPr>
        <w:t>These standards aim to lower the incidence of foodborne illness by strengthening food safety and traceability throughout the food supply chain. Chapter 3 contains food safety standards</w:t>
      </w:r>
      <w:r>
        <w:rPr>
          <w:rFonts w:cs="Arial"/>
        </w:rPr>
        <w:t xml:space="preserve"> applicable to food businesses to ensure only safe and suitable food is available for sale.</w:t>
      </w:r>
      <w:r w:rsidRPr="007601C6">
        <w:rPr>
          <w:rFonts w:cs="Arial"/>
        </w:rPr>
        <w:t xml:space="preserve"> </w:t>
      </w:r>
      <w:r>
        <w:rPr>
          <w:rFonts w:cs="Arial"/>
        </w:rPr>
        <w:t xml:space="preserve">Chapter </w:t>
      </w:r>
      <w:r w:rsidRPr="007601C6">
        <w:rPr>
          <w:rFonts w:cs="Arial"/>
        </w:rPr>
        <w:t xml:space="preserve">4 contains </w:t>
      </w:r>
      <w:r>
        <w:rPr>
          <w:rFonts w:cs="Arial"/>
        </w:rPr>
        <w:t>food safety requirements applicable to primary</w:t>
      </w:r>
      <w:r w:rsidRPr="007601C6">
        <w:rPr>
          <w:rFonts w:cs="Arial"/>
        </w:rPr>
        <w:t xml:space="preserve"> production and processing </w:t>
      </w:r>
      <w:r>
        <w:rPr>
          <w:rFonts w:cs="Arial"/>
        </w:rPr>
        <w:t>activities. Requirements in C</w:t>
      </w:r>
      <w:r w:rsidRPr="007601C6">
        <w:rPr>
          <w:rFonts w:cs="Arial"/>
        </w:rPr>
        <w:t>hapters 3 and 4 only apply in Australia.</w:t>
      </w:r>
      <w:r w:rsidRPr="00963F2B">
        <w:rPr>
          <w:rFonts w:cs="Arial"/>
        </w:rPr>
        <w:t xml:space="preserve"> </w:t>
      </w:r>
    </w:p>
    <w:p w14:paraId="2D82E6BB" w14:textId="77777777" w:rsidR="008B6C00" w:rsidRPr="00294846" w:rsidRDefault="008B6C00" w:rsidP="008B6C00">
      <w:pPr>
        <w:pStyle w:val="Heading4"/>
      </w:pPr>
      <w:r w:rsidRPr="00294846">
        <w:t>Chapter 3 Food Safety Standards</w:t>
      </w:r>
    </w:p>
    <w:p w14:paraId="11DA5307" w14:textId="77777777" w:rsidR="008B6C00" w:rsidRDefault="008B6C00" w:rsidP="008B6C00">
      <w:r w:rsidRPr="00EE2B8B">
        <w:t xml:space="preserve">Chapter 3 </w:t>
      </w:r>
      <w:r>
        <w:t xml:space="preserve">Food Safety </w:t>
      </w:r>
      <w:r w:rsidRPr="00EE2B8B">
        <w:t>Standards</w:t>
      </w:r>
      <w:r>
        <w:t xml:space="preserve"> applies</w:t>
      </w:r>
      <w:r w:rsidRPr="00EE2B8B">
        <w:t xml:space="preserve"> to</w:t>
      </w:r>
      <w:r>
        <w:t xml:space="preserve"> all </w:t>
      </w:r>
      <w:r w:rsidRPr="00EE2B8B">
        <w:t>food businesses</w:t>
      </w:r>
      <w:r>
        <w:t xml:space="preserve"> that sell food, or handle food </w:t>
      </w:r>
      <w:r>
        <w:lastRenderedPageBreak/>
        <w:t>intended for sale. Primary food production is excluded from the definition of food business unless food is sold directly to the consumer. Primary food production means the growing, cultivation, picking, harvesting, collection or catching of food and includes:</w:t>
      </w:r>
    </w:p>
    <w:p w14:paraId="7FAFE4C4" w14:textId="77777777" w:rsidR="008B6C00" w:rsidRDefault="008B6C00" w:rsidP="00443C43">
      <w:pPr>
        <w:pStyle w:val="ListParagraph"/>
        <w:numPr>
          <w:ilvl w:val="0"/>
          <w:numId w:val="7"/>
        </w:numPr>
      </w:pPr>
      <w:r>
        <w:t>transportation or delivery of food on, from or between the premises on which it was grown, cultivated, picked, harvested, collected or caught</w:t>
      </w:r>
    </w:p>
    <w:p w14:paraId="19E8405F" w14:textId="77777777" w:rsidR="008B6C00" w:rsidRDefault="008B6C00" w:rsidP="00443C43">
      <w:pPr>
        <w:pStyle w:val="ListParagraph"/>
        <w:numPr>
          <w:ilvl w:val="0"/>
          <w:numId w:val="7"/>
        </w:numPr>
      </w:pPr>
      <w:r>
        <w:t xml:space="preserve">packing, treating (e.g. washing) or storing of food on the premises on which it was grown, cultivated, picked, harvested, collected or caught. </w:t>
      </w:r>
    </w:p>
    <w:p w14:paraId="032403D0" w14:textId="77777777" w:rsidR="008B6C00" w:rsidRPr="00500468" w:rsidRDefault="008B6C00" w:rsidP="008B6C00">
      <w:pPr>
        <w:pStyle w:val="Heading4"/>
      </w:pPr>
      <w:r w:rsidRPr="00500468">
        <w:t>Standard 4.2.6 –</w:t>
      </w:r>
      <w:r>
        <w:t xml:space="preserve"> </w:t>
      </w:r>
      <w:r w:rsidRPr="00500468">
        <w:t xml:space="preserve">Production </w:t>
      </w:r>
      <w:r>
        <w:t>a</w:t>
      </w:r>
      <w:r w:rsidRPr="00500468">
        <w:t>nd Processing Standard for Seed sprouts</w:t>
      </w:r>
    </w:p>
    <w:p w14:paraId="17B2E36C" w14:textId="77777777" w:rsidR="008B6C00" w:rsidRDefault="008B6C00" w:rsidP="008B6C00">
      <w:r>
        <w:t xml:space="preserve">The aim of Standard 4.2.6 </w:t>
      </w:r>
      <w:r w:rsidRPr="00046DA6">
        <w:t>is to reduce the incidence of foodborne illness associated with</w:t>
      </w:r>
      <w:r>
        <w:t xml:space="preserve"> consumption</w:t>
      </w:r>
      <w:r w:rsidRPr="00046DA6">
        <w:t xml:space="preserve"> </w:t>
      </w:r>
      <w:r>
        <w:t xml:space="preserve">of seed sprouts (e.g. </w:t>
      </w:r>
      <w:r w:rsidRPr="00046DA6">
        <w:t>alfalfa, onion, radish, mung bean</w:t>
      </w:r>
      <w:r>
        <w:t>). This</w:t>
      </w:r>
      <w:r w:rsidRPr="00046DA6">
        <w:t xml:space="preserve"> standard was developed through Proposal P1004</w:t>
      </w:r>
      <w:r>
        <w:t xml:space="preserve"> – PPP Standard for Seed Sprouts</w:t>
      </w:r>
      <w:r>
        <w:rPr>
          <w:rStyle w:val="FootnoteReference"/>
        </w:rPr>
        <w:footnoteReference w:id="14"/>
      </w:r>
      <w:r>
        <w:t xml:space="preserve"> and commenced in 2013.</w:t>
      </w:r>
    </w:p>
    <w:p w14:paraId="44CB5F72" w14:textId="77777777" w:rsidR="008B6C00" w:rsidRDefault="008B6C00" w:rsidP="008B6C00"/>
    <w:p w14:paraId="491969E6" w14:textId="23EB1E7F" w:rsidR="008B6C00" w:rsidRPr="00F5326C" w:rsidRDefault="008B6C00" w:rsidP="008B6C00">
      <w:r w:rsidRPr="00046DA6">
        <w:t>Proposal P1004</w:t>
      </w:r>
      <w:r>
        <w:t xml:space="preserve"> </w:t>
      </w:r>
      <w:r w:rsidRPr="00046DA6">
        <w:t xml:space="preserve">examined food safety measures that </w:t>
      </w:r>
      <w:r>
        <w:t>could</w:t>
      </w:r>
      <w:r w:rsidRPr="00046DA6">
        <w:t xml:space="preserve"> be applied along the </w:t>
      </w:r>
      <w:r>
        <w:t>supply</w:t>
      </w:r>
      <w:r w:rsidRPr="00046DA6">
        <w:t xml:space="preserve"> chain for seed sprouts</w:t>
      </w:r>
      <w:r>
        <w:t>. S</w:t>
      </w:r>
      <w:r w:rsidRPr="00046DA6">
        <w:t>eed production (on farm), seed processing and sprout production</w:t>
      </w:r>
      <w:r>
        <w:t xml:space="preserve"> were included.</w:t>
      </w:r>
      <w:r w:rsidRPr="0025774D">
        <w:t xml:space="preserve"> </w:t>
      </w:r>
      <w:r w:rsidRPr="00F5326C">
        <w:t>The analysis included consideration of impacts of a range of proposed regulatory and non-regulatory options on each affected party, including education initiatives, self-regulation and regulatory measures for both seed and sprout processors.</w:t>
      </w:r>
      <w:r>
        <w:t xml:space="preserve"> </w:t>
      </w:r>
      <w:r w:rsidRPr="00F5326C">
        <w:t>The</w:t>
      </w:r>
      <w:r>
        <w:t xml:space="preserve"> economic analysis indicated</w:t>
      </w:r>
      <w:r w:rsidRPr="00F5326C">
        <w:t xml:space="preserve"> regulation of sprout processors only </w:t>
      </w:r>
      <w:r>
        <w:t>was</w:t>
      </w:r>
      <w:r w:rsidRPr="00F5326C">
        <w:t xml:space="preserve"> likely to have the highest</w:t>
      </w:r>
      <w:r>
        <w:t xml:space="preserve"> net benefit to the community. Based on the</w:t>
      </w:r>
      <w:r w:rsidRPr="00F5326C" w:rsidDel="006D7F9F">
        <w:t xml:space="preserve"> </w:t>
      </w:r>
      <w:r>
        <w:t>RIS</w:t>
      </w:r>
      <w:r w:rsidRPr="00F5326C">
        <w:t xml:space="preserve"> and</w:t>
      </w:r>
      <w:r>
        <w:t xml:space="preserve"> supporting</w:t>
      </w:r>
      <w:r w:rsidRPr="00F5326C">
        <w:t xml:space="preserve"> technical</w:t>
      </w:r>
      <w:r>
        <w:t xml:space="preserve"> information, only</w:t>
      </w:r>
      <w:r w:rsidRPr="00F5326C">
        <w:t xml:space="preserve"> food regulatory measures for sprout processors </w:t>
      </w:r>
      <w:r>
        <w:t xml:space="preserve">were included </w:t>
      </w:r>
      <w:r w:rsidRPr="00F5326C">
        <w:t xml:space="preserve">in the Code. </w:t>
      </w:r>
    </w:p>
    <w:p w14:paraId="6F0077AA" w14:textId="338DED27" w:rsidR="008B6C00" w:rsidRDefault="00460141" w:rsidP="008B6C00">
      <w:pPr>
        <w:pStyle w:val="Heading3"/>
        <w:keepLines/>
      </w:pPr>
      <w:bookmarkStart w:id="120" w:name="_Toc27667532"/>
      <w:bookmarkStart w:id="121" w:name="_Toc28953749"/>
      <w:bookmarkStart w:id="122" w:name="_Toc29288643"/>
      <w:bookmarkStart w:id="123" w:name="_Toc29998546"/>
      <w:r>
        <w:t>4.</w:t>
      </w:r>
      <w:r w:rsidR="008B6C00">
        <w:t>1.2</w:t>
      </w:r>
      <w:r w:rsidR="008B6C00">
        <w:tab/>
        <w:t>State and territory legislation</w:t>
      </w:r>
      <w:r w:rsidR="008B6C00" w:rsidRPr="00500468">
        <w:rPr>
          <w:vertAlign w:val="superscript"/>
        </w:rPr>
        <w:footnoteReference w:id="15"/>
      </w:r>
      <w:bookmarkEnd w:id="120"/>
      <w:bookmarkEnd w:id="121"/>
      <w:bookmarkEnd w:id="122"/>
      <w:bookmarkEnd w:id="123"/>
    </w:p>
    <w:p w14:paraId="7FFBB029" w14:textId="1BC844AC" w:rsidR="008B6C00" w:rsidRPr="007808B2" w:rsidRDefault="007808B2" w:rsidP="007808B2">
      <w:pPr>
        <w:keepNext/>
        <w:keepLines/>
      </w:pPr>
      <w:r>
        <w:t>In the states and territories, food safety aspects</w:t>
      </w:r>
      <w:r w:rsidDel="009F1F3C">
        <w:t xml:space="preserve"> of </w:t>
      </w:r>
      <w:r>
        <w:t xml:space="preserve">horticultural produce is currently regulated to varying degrees. Where requirements exist, these are limited to seed sprouts and a few other plant product industries. Some jurisdictions set out food safety scheme requirements in regulations under their </w:t>
      </w:r>
      <w:r w:rsidR="000E019B">
        <w:t>F</w:t>
      </w:r>
      <w:r>
        <w:t xml:space="preserve">ood </w:t>
      </w:r>
      <w:r w:rsidR="000E019B">
        <w:t>A</w:t>
      </w:r>
      <w:r>
        <w:t xml:space="preserve">cts. </w:t>
      </w:r>
      <w:r w:rsidR="008B6C00">
        <w:rPr>
          <w:rFonts w:cs="Arial"/>
        </w:rPr>
        <w:t>Legislative requirements, including a comparison of each jurisdiction’s definition of ‘food business’ and ‘primary food production’ is provided in SD2.</w:t>
      </w:r>
    </w:p>
    <w:p w14:paraId="75A21B63" w14:textId="77777777" w:rsidR="008B6C00" w:rsidRDefault="008B6C00" w:rsidP="008B6C00">
      <w:pPr>
        <w:rPr>
          <w:rFonts w:cs="Arial"/>
        </w:rPr>
      </w:pPr>
    </w:p>
    <w:p w14:paraId="6701A6F7" w14:textId="3450418B" w:rsidR="008B6C00" w:rsidRDefault="008B6C00" w:rsidP="008B6C00">
      <w:pPr>
        <w:rPr>
          <w:rFonts w:cs="Arial"/>
        </w:rPr>
      </w:pPr>
      <w:r w:rsidRPr="00C74E54">
        <w:rPr>
          <w:rFonts w:cs="Arial"/>
        </w:rPr>
        <w:lastRenderedPageBreak/>
        <w:t xml:space="preserve">The </w:t>
      </w:r>
      <w:r w:rsidR="000E019B">
        <w:rPr>
          <w:rFonts w:cs="Arial"/>
        </w:rPr>
        <w:t>F</w:t>
      </w:r>
      <w:r w:rsidRPr="00C74E54">
        <w:rPr>
          <w:rFonts w:cs="Arial"/>
        </w:rPr>
        <w:t xml:space="preserve">ood </w:t>
      </w:r>
      <w:r w:rsidR="000E019B">
        <w:rPr>
          <w:rFonts w:cs="Arial"/>
        </w:rPr>
        <w:t>A</w:t>
      </w:r>
      <w:r w:rsidRPr="00C74E54">
        <w:rPr>
          <w:rFonts w:cs="Arial"/>
        </w:rPr>
        <w:t xml:space="preserve">cts in the states and territories require compliance with the Code </w:t>
      </w:r>
      <w:r>
        <w:rPr>
          <w:rFonts w:cs="Arial"/>
        </w:rPr>
        <w:t xml:space="preserve">and </w:t>
      </w:r>
      <w:r w:rsidRPr="00C74E54">
        <w:rPr>
          <w:rFonts w:cs="Arial"/>
        </w:rPr>
        <w:t>contain provisions to improve safety</w:t>
      </w:r>
      <w:r>
        <w:rPr>
          <w:rFonts w:cs="Arial"/>
        </w:rPr>
        <w:t xml:space="preserve"> </w:t>
      </w:r>
      <w:r w:rsidRPr="00C74E54">
        <w:rPr>
          <w:rFonts w:cs="Arial"/>
        </w:rPr>
        <w:t>and manage non-compliance</w:t>
      </w:r>
      <w:r>
        <w:rPr>
          <w:rFonts w:cs="Arial"/>
        </w:rPr>
        <w:t>,</w:t>
      </w:r>
      <w:r w:rsidRPr="00C74E54">
        <w:rPr>
          <w:rFonts w:cs="Arial"/>
        </w:rPr>
        <w:t xml:space="preserve"> </w:t>
      </w:r>
      <w:r>
        <w:rPr>
          <w:rFonts w:cs="Arial"/>
        </w:rPr>
        <w:t>including</w:t>
      </w:r>
      <w:r w:rsidRPr="00C74E54">
        <w:rPr>
          <w:rFonts w:cs="Arial"/>
        </w:rPr>
        <w:t xml:space="preserve"> offences for </w:t>
      </w:r>
      <w:r>
        <w:rPr>
          <w:rFonts w:cs="Arial"/>
        </w:rPr>
        <w:t>producing</w:t>
      </w:r>
      <w:r w:rsidRPr="00C74E54">
        <w:rPr>
          <w:rFonts w:cs="Arial"/>
        </w:rPr>
        <w:t xml:space="preserve"> unsafe and</w:t>
      </w:r>
      <w:r>
        <w:rPr>
          <w:rFonts w:cs="Arial"/>
        </w:rPr>
        <w:t xml:space="preserve"> unsuitable food</w:t>
      </w:r>
      <w:r w:rsidRPr="00C74E54">
        <w:rPr>
          <w:rFonts w:cs="Arial"/>
        </w:rPr>
        <w:t xml:space="preserve">. </w:t>
      </w:r>
      <w:r>
        <w:rPr>
          <w:rFonts w:cs="Arial"/>
        </w:rPr>
        <w:t>P</w:t>
      </w:r>
      <w:r w:rsidRPr="00C74E54">
        <w:rPr>
          <w:rFonts w:cs="Arial"/>
        </w:rPr>
        <w:t>rimary production businesses are not exempt from general provisions to produce safe food</w:t>
      </w:r>
      <w:r>
        <w:rPr>
          <w:rFonts w:cs="Arial"/>
        </w:rPr>
        <w:t>. However</w:t>
      </w:r>
      <w:r w:rsidRPr="00C74E54">
        <w:rPr>
          <w:rFonts w:cs="Arial"/>
        </w:rPr>
        <w:t>, there</w:t>
      </w:r>
      <w:r>
        <w:rPr>
          <w:rFonts w:cs="Arial"/>
        </w:rPr>
        <w:t xml:space="preserve"> is</w:t>
      </w:r>
      <w:r w:rsidRPr="00C74E54">
        <w:rPr>
          <w:rFonts w:cs="Arial"/>
        </w:rPr>
        <w:t xml:space="preserve"> no requirement for businesses engaged in production and minimal processing </w:t>
      </w:r>
      <w:r>
        <w:rPr>
          <w:rFonts w:cs="Arial"/>
        </w:rPr>
        <w:t xml:space="preserve">to be identified by registration or licensing. This lack of </w:t>
      </w:r>
      <w:r w:rsidRPr="00F7767A">
        <w:rPr>
          <w:rFonts w:cs="Arial"/>
        </w:rPr>
        <w:t>identification/information</w:t>
      </w:r>
      <w:r>
        <w:rPr>
          <w:rFonts w:cs="Arial"/>
        </w:rPr>
        <w:t xml:space="preserve"> results in</w:t>
      </w:r>
      <w:r w:rsidRPr="00C74E54">
        <w:rPr>
          <w:rFonts w:cs="Arial"/>
        </w:rPr>
        <w:t xml:space="preserve"> difficulties accessing and sharing information to prevent or manage incidents.</w:t>
      </w:r>
      <w:r>
        <w:rPr>
          <w:rFonts w:cs="Arial"/>
        </w:rPr>
        <w:t xml:space="preserve"> Powers of jurisdictional</w:t>
      </w:r>
      <w:r w:rsidRPr="00C74E54">
        <w:rPr>
          <w:rFonts w:cs="Arial"/>
        </w:rPr>
        <w:t xml:space="preserve"> officers are limited to reactive</w:t>
      </w:r>
      <w:r>
        <w:rPr>
          <w:rFonts w:cs="Arial"/>
        </w:rPr>
        <w:t xml:space="preserve"> </w:t>
      </w:r>
      <w:r w:rsidRPr="00C74E54">
        <w:rPr>
          <w:rFonts w:cs="Arial"/>
        </w:rPr>
        <w:t>situations</w:t>
      </w:r>
      <w:r>
        <w:rPr>
          <w:rFonts w:cs="Arial"/>
        </w:rPr>
        <w:t>; for example</w:t>
      </w:r>
      <w:r w:rsidRPr="00C74E54">
        <w:rPr>
          <w:rFonts w:cs="Arial"/>
        </w:rPr>
        <w:t xml:space="preserve"> where an offence is likely to have occurred or </w:t>
      </w:r>
      <w:r>
        <w:rPr>
          <w:rFonts w:cs="Arial"/>
        </w:rPr>
        <w:t xml:space="preserve">when </w:t>
      </w:r>
      <w:r w:rsidRPr="00C74E54">
        <w:rPr>
          <w:rFonts w:cs="Arial"/>
        </w:rPr>
        <w:t>emergency orders</w:t>
      </w:r>
      <w:r>
        <w:rPr>
          <w:rFonts w:cs="Arial"/>
        </w:rPr>
        <w:t xml:space="preserve"> are enforced.</w:t>
      </w:r>
      <w:r w:rsidRPr="00C74E54">
        <w:rPr>
          <w:rFonts w:cs="Arial"/>
        </w:rPr>
        <w:t xml:space="preserve"> There are also no mandated traceability requirements outside of industry scheme requirements.</w:t>
      </w:r>
    </w:p>
    <w:p w14:paraId="1593EE15" w14:textId="1104A2AE" w:rsidR="009D64C2" w:rsidRDefault="00857EC6">
      <w:pPr>
        <w:pStyle w:val="Heading3"/>
      </w:pPr>
      <w:bookmarkStart w:id="124" w:name="_Toc28953768"/>
      <w:bookmarkStart w:id="125" w:name="_Toc29288665"/>
      <w:bookmarkStart w:id="126" w:name="_Toc29998547"/>
      <w:bookmarkEnd w:id="113"/>
      <w:r>
        <w:t>4.1.</w:t>
      </w:r>
      <w:r w:rsidR="007808B2">
        <w:t>3</w:t>
      </w:r>
      <w:r w:rsidR="009D64C2">
        <w:tab/>
      </w:r>
      <w:r w:rsidR="007808B2">
        <w:t>Import and export</w:t>
      </w:r>
      <w:r w:rsidR="00AA3511">
        <w:t xml:space="preserve"> requirements</w:t>
      </w:r>
      <w:bookmarkEnd w:id="124"/>
      <w:bookmarkEnd w:id="125"/>
      <w:bookmarkEnd w:id="126"/>
    </w:p>
    <w:p w14:paraId="0F3E7995" w14:textId="1C59B85F" w:rsidR="00277FBC" w:rsidRPr="007B56AF" w:rsidRDefault="001C6351">
      <w:r>
        <w:t xml:space="preserve">The </w:t>
      </w:r>
      <w:r w:rsidR="009F1F3C">
        <w:t xml:space="preserve">import and export of food, including plant products, is regulated through legislation administered by the </w:t>
      </w:r>
      <w:r>
        <w:t>Department of Agriculture.</w:t>
      </w:r>
      <w:r w:rsidR="009D64C2" w:rsidRPr="009D64C2" w:rsidDel="00277FBC">
        <w:t xml:space="preserve"> </w:t>
      </w:r>
      <w:r w:rsidR="00277FBC">
        <w:t>Export requirements mainly focus on facilitating trade and preventing the introduction and spread of pests and diseases.</w:t>
      </w:r>
      <w:r w:rsidR="009F1F3C">
        <w:t xml:space="preserve"> </w:t>
      </w:r>
      <w:r w:rsidR="00277FBC">
        <w:t xml:space="preserve">Import requirements mainly cover quarantine concerns. However, the </w:t>
      </w:r>
      <w:r w:rsidR="00277FBC" w:rsidRPr="005E1EAB">
        <w:t>I</w:t>
      </w:r>
      <w:r w:rsidR="00277FBC">
        <w:t xml:space="preserve">mport </w:t>
      </w:r>
      <w:r w:rsidR="00277FBC" w:rsidRPr="005E1EAB">
        <w:t>F</w:t>
      </w:r>
      <w:r w:rsidR="00277FBC">
        <w:t xml:space="preserve">ood </w:t>
      </w:r>
      <w:r w:rsidR="00277FBC" w:rsidRPr="005E1EAB">
        <w:t>I</w:t>
      </w:r>
      <w:r w:rsidR="00277FBC">
        <w:t xml:space="preserve">nspection </w:t>
      </w:r>
      <w:r w:rsidR="00277FBC" w:rsidRPr="005E1EAB">
        <w:t>S</w:t>
      </w:r>
      <w:r w:rsidR="00277FBC">
        <w:t>cheme</w:t>
      </w:r>
      <w:r w:rsidR="00277FBC" w:rsidRPr="005E1EAB">
        <w:t xml:space="preserve"> identifies certain horticultural produce that require microbial testing including but not limited to: ready-to-eat berries that will not be further processed, dried herbs and frozen spinach. </w:t>
      </w:r>
    </w:p>
    <w:p w14:paraId="392BE996" w14:textId="2757EC42" w:rsidR="007808B2" w:rsidRDefault="007808B2" w:rsidP="007808B2">
      <w:pPr>
        <w:pStyle w:val="Heading3"/>
      </w:pPr>
      <w:bookmarkStart w:id="127" w:name="_Toc29998548"/>
      <w:r>
        <w:t>4.1.4</w:t>
      </w:r>
      <w:r>
        <w:tab/>
        <w:t>International legislation</w:t>
      </w:r>
      <w:bookmarkEnd w:id="127"/>
    </w:p>
    <w:p w14:paraId="068DC026" w14:textId="0C872F3D" w:rsidR="001C6351" w:rsidRDefault="001C6351" w:rsidP="00277FBC">
      <w:r>
        <w:t xml:space="preserve">Internationally, there is considerable variation in the legislation applicable to the production of horticultural produce. For example, in New Zealand the </w:t>
      </w:r>
      <w:r w:rsidRPr="0068096D">
        <w:rPr>
          <w:i/>
        </w:rPr>
        <w:t>Food Act 2014</w:t>
      </w:r>
      <w:r>
        <w:t xml:space="preserve"> focusses on the food production process rather than the premises on which the food is made. Food safety risk in New Zealand is managed through food control plans and, for lower risk food businesses, through national programs.</w:t>
      </w:r>
    </w:p>
    <w:p w14:paraId="5E3A6258" w14:textId="506174F9" w:rsidR="009D64C2" w:rsidRDefault="00857EC6" w:rsidP="007808B2">
      <w:pPr>
        <w:pStyle w:val="Heading2"/>
      </w:pPr>
      <w:bookmarkStart w:id="128" w:name="_Toc28953769"/>
      <w:bookmarkStart w:id="129" w:name="_Toc29288666"/>
      <w:bookmarkStart w:id="130" w:name="_Toc29998549"/>
      <w:r>
        <w:t>4.</w:t>
      </w:r>
      <w:r w:rsidR="00252926">
        <w:t>2</w:t>
      </w:r>
      <w:r w:rsidR="009D64C2">
        <w:tab/>
        <w:t>Non</w:t>
      </w:r>
      <w:r w:rsidR="00566E12">
        <w:t>-</w:t>
      </w:r>
      <w:r w:rsidR="009D64C2">
        <w:t xml:space="preserve">regulatory </w:t>
      </w:r>
      <w:r w:rsidR="0020498A">
        <w:t>measures</w:t>
      </w:r>
      <w:bookmarkEnd w:id="128"/>
      <w:bookmarkEnd w:id="129"/>
      <w:bookmarkEnd w:id="130"/>
    </w:p>
    <w:p w14:paraId="52C699EC" w14:textId="4F9EAA65" w:rsidR="001C6351" w:rsidRPr="00E63790" w:rsidRDefault="002B5259" w:rsidP="002B5259">
      <w:pPr>
        <w:pStyle w:val="Heading3"/>
      </w:pPr>
      <w:bookmarkStart w:id="131" w:name="_Toc29998550"/>
      <w:r>
        <w:t>4.2.1</w:t>
      </w:r>
      <w:r>
        <w:tab/>
      </w:r>
      <w:r w:rsidR="00B04CF0" w:rsidRPr="00E63790">
        <w:t xml:space="preserve">Food </w:t>
      </w:r>
      <w:r w:rsidR="0020498A" w:rsidRPr="00E63790">
        <w:t>safety s</w:t>
      </w:r>
      <w:r w:rsidR="00B04CF0" w:rsidRPr="00E63790">
        <w:t>chemes</w:t>
      </w:r>
      <w:bookmarkEnd w:id="131"/>
    </w:p>
    <w:p w14:paraId="60CBFA53" w14:textId="5523E8C6" w:rsidR="00B04CF0" w:rsidRDefault="00B04CF0" w:rsidP="001C6351">
      <w:r>
        <w:t xml:space="preserve">Food safety schemes are voluntary, highly prescriptive </w:t>
      </w:r>
      <w:r w:rsidR="00607694">
        <w:t xml:space="preserve">industry </w:t>
      </w:r>
      <w:r>
        <w:t>schemes that aim to ensure the safety of food during certain stages of production, packing, processing, transport, manufacture, wholesale and retail sale or food service. Horticultural businesses that sign up to a food safety scheme agree to comply with requirements on how produce is grown, packed, prepared and distributed. Compliance with a food safety scheme is usually certified through a third-party auditor.</w:t>
      </w:r>
    </w:p>
    <w:p w14:paraId="532F7B9D" w14:textId="42A91491" w:rsidR="00B04CF0" w:rsidRDefault="00B04CF0" w:rsidP="001C6351"/>
    <w:p w14:paraId="6B86D84A" w14:textId="738005AA" w:rsidR="007808B2" w:rsidRDefault="007808B2" w:rsidP="001C6351">
      <w:r>
        <w:lastRenderedPageBreak/>
        <w:t xml:space="preserve">FSANZ previously reviewed industry food safety schemes in P1015. The review aimed to determine the level of participation </w:t>
      </w:r>
      <w:r w:rsidR="002B5259">
        <w:t xml:space="preserve">in, </w:t>
      </w:r>
      <w:r>
        <w:t xml:space="preserve">and the food safety elements </w:t>
      </w:r>
      <w:r w:rsidR="002B5259">
        <w:t>of, each of the nine schemes assessed.</w:t>
      </w:r>
      <w:r>
        <w:t xml:space="preserve"> </w:t>
      </w:r>
      <w:r w:rsidR="002B5259">
        <w:t>The level of participation was unable to be determined as there were difficulties in determining the number of horticultural producers in Australia, and obtaining information from all system owners and certification bodies. Another issue was that many producers maintained certifications to multiple systems. At the time, available information suggested 70-80% of horticultural produce was grown under a scheme that included food safety control measures.</w:t>
      </w:r>
    </w:p>
    <w:p w14:paraId="11662F9D" w14:textId="11CE1EF2" w:rsidR="00B443BB" w:rsidRDefault="00B443BB" w:rsidP="001C6351"/>
    <w:p w14:paraId="45221D67" w14:textId="504CAEAE" w:rsidR="00B443BB" w:rsidRDefault="00CC0AF6" w:rsidP="00B443BB">
      <w:pPr>
        <w:widowControl/>
      </w:pPr>
      <w:r>
        <w:t xml:space="preserve">An overview of current industry schemes, </w:t>
      </w:r>
      <w:r w:rsidR="008574F9">
        <w:t>including t</w:t>
      </w:r>
      <w:r w:rsidR="00B443BB">
        <w:t xml:space="preserve">he Harmonised Australian Retailer Produce Scheme </w:t>
      </w:r>
      <w:r>
        <w:t xml:space="preserve">(HARPS), Freshcare Food Safety and Quality Standards, </w:t>
      </w:r>
      <w:r w:rsidRPr="00E16F65">
        <w:rPr>
          <w:i/>
        </w:rPr>
        <w:t>GLOBALG.A.P.</w:t>
      </w:r>
      <w:r>
        <w:rPr>
          <w:i/>
        </w:rPr>
        <w:t xml:space="preserve">, </w:t>
      </w:r>
      <w:r w:rsidRPr="00E16F65">
        <w:rPr>
          <w:i/>
        </w:rPr>
        <w:t>SQF Food Safety Program</w:t>
      </w:r>
      <w:r>
        <w:rPr>
          <w:i/>
        </w:rPr>
        <w:t xml:space="preserve"> and </w:t>
      </w:r>
      <w:r w:rsidRPr="00E16F65">
        <w:rPr>
          <w:i/>
        </w:rPr>
        <w:t>BRC Global Standard for Food</w:t>
      </w:r>
      <w:r>
        <w:t xml:space="preserve">, </w:t>
      </w:r>
      <w:r w:rsidR="008574F9">
        <w:t>and coverage of their requirements</w:t>
      </w:r>
      <w:r w:rsidR="00B443BB">
        <w:t xml:space="preserve"> </w:t>
      </w:r>
      <w:r>
        <w:t>across the supply chain is</w:t>
      </w:r>
      <w:r w:rsidR="00B443BB">
        <w:t xml:space="preserve"> discussed in SD2. </w:t>
      </w:r>
    </w:p>
    <w:p w14:paraId="1DB30197" w14:textId="7EEA01E3" w:rsidR="007808B2" w:rsidRDefault="007808B2" w:rsidP="001C6351"/>
    <w:p w14:paraId="51217EBE" w14:textId="060891C6" w:rsidR="008574F9" w:rsidRDefault="008574F9" w:rsidP="008574F9">
      <w:pPr>
        <w:rPr>
          <w:lang w:eastAsia="en-AU" w:bidi="ar-SA"/>
        </w:rPr>
      </w:pPr>
      <w:r>
        <w:rPr>
          <w:lang w:eastAsia="en-AU" w:bidi="ar-SA"/>
        </w:rPr>
        <w:t xml:space="preserve">Key </w:t>
      </w:r>
      <w:r w:rsidR="00CC0AF6">
        <w:rPr>
          <w:lang w:eastAsia="en-AU" w:bidi="ar-SA"/>
        </w:rPr>
        <w:t>findings from this assessment are</w:t>
      </w:r>
      <w:r>
        <w:rPr>
          <w:lang w:eastAsia="en-AU" w:bidi="ar-SA"/>
        </w:rPr>
        <w:t>:</w:t>
      </w:r>
    </w:p>
    <w:p w14:paraId="0D082BAC" w14:textId="77777777" w:rsidR="008574F9" w:rsidRDefault="008574F9" w:rsidP="00443C43">
      <w:pPr>
        <w:pStyle w:val="ListParagraph"/>
        <w:widowControl/>
        <w:numPr>
          <w:ilvl w:val="0"/>
          <w:numId w:val="10"/>
        </w:numPr>
        <w:rPr>
          <w:lang w:eastAsia="en-AU"/>
        </w:rPr>
      </w:pPr>
      <w:r>
        <w:rPr>
          <w:lang w:eastAsia="en-AU"/>
        </w:rPr>
        <w:t>Primary producers can elect to sign up to voluntary food safety schemes whereby they are audited by a third party against specified requirements.</w:t>
      </w:r>
    </w:p>
    <w:p w14:paraId="08780DF4" w14:textId="77777777" w:rsidR="008574F9" w:rsidRDefault="008574F9" w:rsidP="00443C43">
      <w:pPr>
        <w:pStyle w:val="ListParagraph"/>
        <w:widowControl/>
        <w:numPr>
          <w:ilvl w:val="0"/>
          <w:numId w:val="10"/>
        </w:numPr>
        <w:rPr>
          <w:lang w:eastAsia="en-AU"/>
        </w:rPr>
      </w:pPr>
      <w:r>
        <w:rPr>
          <w:lang w:eastAsia="en-AU"/>
        </w:rPr>
        <w:t>HARPS provides a harmonised standard used by the five major retailers in Australia. In conjunction with a base benchmarked scheme, HARPS enables growers and packers to complete a single audit rather than comply with different requirements for the major retailers.</w:t>
      </w:r>
    </w:p>
    <w:p w14:paraId="00BC02D1" w14:textId="77777777" w:rsidR="008574F9" w:rsidRDefault="008574F9" w:rsidP="00443C43">
      <w:pPr>
        <w:pStyle w:val="ListParagraph"/>
        <w:widowControl/>
        <w:numPr>
          <w:ilvl w:val="0"/>
          <w:numId w:val="10"/>
        </w:numPr>
        <w:rPr>
          <w:lang w:eastAsia="en-AU"/>
        </w:rPr>
      </w:pPr>
      <w:r>
        <w:rPr>
          <w:lang w:eastAsia="en-AU"/>
        </w:rPr>
        <w:t>Base schemes associated with HARPS are GFSI benchmarked, meaning they represent global best practice in food safety management.</w:t>
      </w:r>
    </w:p>
    <w:p w14:paraId="47C4AFBE" w14:textId="6C148979" w:rsidR="008574F9" w:rsidRDefault="008574F9" w:rsidP="00443C43">
      <w:pPr>
        <w:pStyle w:val="ListParagraph"/>
        <w:widowControl/>
        <w:numPr>
          <w:ilvl w:val="0"/>
          <w:numId w:val="10"/>
        </w:numPr>
        <w:rPr>
          <w:lang w:eastAsia="en-AU"/>
        </w:rPr>
      </w:pPr>
      <w:r>
        <w:rPr>
          <w:lang w:eastAsia="en-AU"/>
        </w:rPr>
        <w:t xml:space="preserve">The GFSI-benchmarked food safety schemes provide varying degrees of coverage across the supply chain. </w:t>
      </w:r>
    </w:p>
    <w:p w14:paraId="0954A70F" w14:textId="77777777" w:rsidR="008574F9" w:rsidRDefault="008574F9" w:rsidP="008574F9">
      <w:pPr>
        <w:pStyle w:val="ListParagraph"/>
        <w:widowControl/>
        <w:rPr>
          <w:lang w:eastAsia="en-AU"/>
        </w:rPr>
      </w:pPr>
    </w:p>
    <w:p w14:paraId="008F137A" w14:textId="363190ED" w:rsidR="00B443BB" w:rsidRDefault="008574F9" w:rsidP="00B443BB">
      <w:pPr>
        <w:widowControl/>
        <w:rPr>
          <w:lang w:eastAsia="en-AU"/>
        </w:rPr>
      </w:pPr>
      <w:r>
        <w:rPr>
          <w:lang w:eastAsia="en-AU"/>
        </w:rPr>
        <w:t>Although there are less schemes used now than in 2012, there is still similar coverage</w:t>
      </w:r>
      <w:r w:rsidR="001927D5">
        <w:rPr>
          <w:lang w:eastAsia="en-AU"/>
        </w:rPr>
        <w:t xml:space="preserve"> in requirements </w:t>
      </w:r>
      <w:r>
        <w:rPr>
          <w:lang w:eastAsia="en-AU"/>
        </w:rPr>
        <w:t xml:space="preserve">across the supply chain. </w:t>
      </w:r>
      <w:r w:rsidR="00B443BB">
        <w:rPr>
          <w:lang w:eastAsia="en-AU"/>
        </w:rPr>
        <w:t>Not all food safety schemes reviewed address the same requirements, but this may be explained by the extent of their supply chain coverage</w:t>
      </w:r>
      <w:r w:rsidR="00CC0AF6">
        <w:rPr>
          <w:lang w:eastAsia="en-AU"/>
        </w:rPr>
        <w:t>.</w:t>
      </w:r>
    </w:p>
    <w:p w14:paraId="31FBB088" w14:textId="77777777" w:rsidR="00B443BB" w:rsidRDefault="00B443BB" w:rsidP="00B443BB">
      <w:pPr>
        <w:pStyle w:val="Janem"/>
        <w:numPr>
          <w:ilvl w:val="0"/>
          <w:numId w:val="0"/>
        </w:numPr>
      </w:pPr>
    </w:p>
    <w:p w14:paraId="76FB3871" w14:textId="0610B1B4" w:rsidR="00B443BB" w:rsidRDefault="00B443BB" w:rsidP="00B443BB">
      <w:pPr>
        <w:pStyle w:val="Janem"/>
        <w:numPr>
          <w:ilvl w:val="0"/>
          <w:numId w:val="0"/>
        </w:numPr>
      </w:pPr>
      <w:r>
        <w:t>Data on the number</w:t>
      </w:r>
      <w:r w:rsidR="008574F9">
        <w:t>, and type,</w:t>
      </w:r>
      <w:r>
        <w:t xml:space="preserve"> of producer</w:t>
      </w:r>
      <w:r w:rsidR="001927D5">
        <w:t>s</w:t>
      </w:r>
      <w:r w:rsidR="008574F9">
        <w:t xml:space="preserve"> who operates </w:t>
      </w:r>
      <w:r w:rsidR="001927D5">
        <w:t xml:space="preserve">under </w:t>
      </w:r>
      <w:r w:rsidR="008574F9">
        <w:t xml:space="preserve">an industry scheme remains difficult to obtain. </w:t>
      </w:r>
      <w:r>
        <w:t xml:space="preserve">Social research conducted by Agriculture Victoria in 2019 of 556 growers, showed </w:t>
      </w:r>
      <w:r w:rsidR="001927D5">
        <w:t xml:space="preserve">of the </w:t>
      </w:r>
      <w:r>
        <w:t>138 growers of produce considered high</w:t>
      </w:r>
      <w:r w:rsidR="008574F9">
        <w:t>-</w:t>
      </w:r>
      <w:r>
        <w:t>risk in the scope of that research</w:t>
      </w:r>
      <w:r w:rsidR="001927D5">
        <w:t>,</w:t>
      </w:r>
      <w:r>
        <w:t xml:space="preserve"> just over half (53%) reported using a third party food safety scheme. Most of those (73%) reported using Freshcare.</w:t>
      </w:r>
    </w:p>
    <w:p w14:paraId="497DE81C" w14:textId="53229861" w:rsidR="00653FE6" w:rsidRDefault="00653FE6" w:rsidP="00B443BB">
      <w:pPr>
        <w:pStyle w:val="Janem"/>
        <w:numPr>
          <w:ilvl w:val="0"/>
          <w:numId w:val="0"/>
        </w:numPr>
      </w:pPr>
    </w:p>
    <w:p w14:paraId="7F2973C5" w14:textId="442A2B11" w:rsidR="00653FE6" w:rsidRPr="00E63790" w:rsidRDefault="00653FE6" w:rsidP="00B443BB">
      <w:pPr>
        <w:pStyle w:val="Janem"/>
        <w:numPr>
          <w:ilvl w:val="0"/>
          <w:numId w:val="0"/>
        </w:numPr>
      </w:pPr>
      <w:r>
        <w:rPr>
          <w:lang w:eastAsia="en-AU"/>
        </w:rPr>
        <w:lastRenderedPageBreak/>
        <w:t xml:space="preserve">Based on limited available information, the efficacy of current schemes is unable to be determined. That said, as stated above, </w:t>
      </w:r>
      <w:r w:rsidR="00F551D5">
        <w:rPr>
          <w:lang w:eastAsia="en-AU"/>
        </w:rPr>
        <w:t xml:space="preserve">information available to FSANZ is that </w:t>
      </w:r>
      <w:r>
        <w:t xml:space="preserve">foodborne illness outbreaks </w:t>
      </w:r>
      <w:r w:rsidR="00F551D5">
        <w:t xml:space="preserve">involving horticultural produce businesses with </w:t>
      </w:r>
      <w:r w:rsidR="00F551D5" w:rsidRPr="00000888">
        <w:t>food safety schemes in place</w:t>
      </w:r>
      <w:r w:rsidR="00F551D5">
        <w:t xml:space="preserve"> continue to occur. </w:t>
      </w:r>
      <w:r w:rsidRPr="00000888">
        <w:t xml:space="preserve">This suggests that such schemes </w:t>
      </w:r>
      <w:r w:rsidR="001308F6">
        <w:t xml:space="preserve">alone </w:t>
      </w:r>
      <w:r>
        <w:t>may</w:t>
      </w:r>
      <w:r w:rsidRPr="00000888">
        <w:t xml:space="preserve"> not </w:t>
      </w:r>
      <w:r w:rsidR="00F551D5">
        <w:t>be the most effective measure to address the food safety risk.</w:t>
      </w:r>
    </w:p>
    <w:p w14:paraId="1087AD49" w14:textId="77777777" w:rsidR="00927201" w:rsidRDefault="00927201" w:rsidP="00DD3C5E"/>
    <w:p w14:paraId="2F3DD4EC" w14:textId="67F4EBB0" w:rsidR="00927201" w:rsidRPr="007808B2" w:rsidRDefault="00927201" w:rsidP="00904F5F">
      <w:pPr>
        <w:keepNext/>
        <w:keepLines/>
        <w:pBdr>
          <w:top w:val="single" w:sz="4" w:space="6" w:color="auto"/>
          <w:left w:val="single" w:sz="4" w:space="0" w:color="auto"/>
          <w:bottom w:val="single" w:sz="4" w:space="6" w:color="auto"/>
          <w:right w:val="single" w:sz="4" w:space="4" w:color="auto"/>
        </w:pBdr>
        <w:shd w:val="clear" w:color="auto" w:fill="F2F2F2" w:themeFill="background1" w:themeFillShade="F2"/>
      </w:pPr>
      <w:r w:rsidRPr="007808B2">
        <w:t xml:space="preserve">FSANZ welcomes information in submissions </w:t>
      </w:r>
      <w:r w:rsidR="007057C3" w:rsidRPr="007808B2">
        <w:t>that</w:t>
      </w:r>
      <w:r w:rsidRPr="007808B2">
        <w:t xml:space="preserve"> can further inform us of the uptake </w:t>
      </w:r>
      <w:r w:rsidR="009F37AA" w:rsidRPr="007808B2">
        <w:t xml:space="preserve">and </w:t>
      </w:r>
      <w:r w:rsidR="00F551D5">
        <w:t xml:space="preserve">of the </w:t>
      </w:r>
      <w:r w:rsidR="009F37AA" w:rsidRPr="007808B2">
        <w:t xml:space="preserve">efficacy </w:t>
      </w:r>
      <w:r w:rsidRPr="007808B2">
        <w:t xml:space="preserve">of industry schemes </w:t>
      </w:r>
      <w:r w:rsidR="0074352A" w:rsidRPr="007808B2">
        <w:t xml:space="preserve">across the </w:t>
      </w:r>
      <w:r w:rsidR="000C518D" w:rsidRPr="007808B2">
        <w:t xml:space="preserve">high-risk </w:t>
      </w:r>
      <w:r w:rsidRPr="007808B2">
        <w:t>horticulture sector</w:t>
      </w:r>
      <w:r w:rsidR="000C518D" w:rsidRPr="007808B2">
        <w:t>s</w:t>
      </w:r>
      <w:r w:rsidRPr="007808B2">
        <w:t>.</w:t>
      </w:r>
    </w:p>
    <w:p w14:paraId="39D8A003" w14:textId="07A2C35F" w:rsidR="00CC0AF6" w:rsidRDefault="00202084" w:rsidP="00202084">
      <w:pPr>
        <w:pStyle w:val="Heading3"/>
      </w:pPr>
      <w:bookmarkStart w:id="132" w:name="_Toc29998551"/>
      <w:bookmarkStart w:id="133" w:name="_Toc29288667"/>
      <w:bookmarkStart w:id="134" w:name="_Toc27667550"/>
      <w:bookmarkStart w:id="135" w:name="_Toc28953771"/>
      <w:r>
        <w:t>4.2.2</w:t>
      </w:r>
      <w:r>
        <w:tab/>
        <w:t>Guidance documents and other information</w:t>
      </w:r>
      <w:bookmarkEnd w:id="132"/>
    </w:p>
    <w:p w14:paraId="3F4EBB57" w14:textId="74CD2E20" w:rsidR="00202084" w:rsidRDefault="00202084" w:rsidP="000D64DC">
      <w:r>
        <w:t>Various</w:t>
      </w:r>
      <w:r w:rsidRPr="005845C0">
        <w:t xml:space="preserve"> guidance documents have </w:t>
      </w:r>
      <w:r>
        <w:t xml:space="preserve">recently </w:t>
      </w:r>
      <w:r w:rsidRPr="005845C0">
        <w:t xml:space="preserve">been developed for </w:t>
      </w:r>
      <w:r w:rsidR="00F07C46">
        <w:t xml:space="preserve">high-risk </w:t>
      </w:r>
      <w:r w:rsidRPr="005845C0">
        <w:t>horticultural produce in Australia</w:t>
      </w:r>
      <w:r w:rsidRPr="00202084">
        <w:t xml:space="preserve"> </w:t>
      </w:r>
      <w:r>
        <w:t xml:space="preserve">(see section 3.2 of SD2 for further details). The </w:t>
      </w:r>
      <w:r w:rsidRPr="001365E9">
        <w:rPr>
          <w:i/>
        </w:rPr>
        <w:t>Guidelines for Fresh Produce Food Safety 2019</w:t>
      </w:r>
      <w:r>
        <w:t xml:space="preserve"> and </w:t>
      </w:r>
      <w:r w:rsidRPr="001365E9">
        <w:rPr>
          <w:i/>
        </w:rPr>
        <w:t>Melon Food Safety Best Practice Guide</w:t>
      </w:r>
      <w:r>
        <w:t xml:space="preserve"> focus on food safety, including identifying and mitigating microbiological hazards</w:t>
      </w:r>
      <w:r w:rsidR="00F07C46">
        <w:t xml:space="preserve"> through primary production and processing activities</w:t>
      </w:r>
      <w:r>
        <w:t>.</w:t>
      </w:r>
    </w:p>
    <w:p w14:paraId="365B7AEA" w14:textId="75A4DB49" w:rsidR="00202084" w:rsidRDefault="00202084" w:rsidP="00CC0AF6">
      <w:pPr>
        <w:pStyle w:val="Janem"/>
        <w:numPr>
          <w:ilvl w:val="0"/>
          <w:numId w:val="0"/>
        </w:numPr>
      </w:pPr>
    </w:p>
    <w:p w14:paraId="189D730F" w14:textId="770355E0" w:rsidR="00202084" w:rsidRDefault="00F07C46" w:rsidP="00CC0AF6">
      <w:pPr>
        <w:pStyle w:val="Janem"/>
        <w:numPr>
          <w:ilvl w:val="0"/>
          <w:numId w:val="0"/>
        </w:numPr>
      </w:pPr>
      <w:r>
        <w:t xml:space="preserve">The </w:t>
      </w:r>
      <w:r w:rsidR="00202084">
        <w:t xml:space="preserve">Codex Alimentarius Commission (Codex) Code of Hygienic Practice for Fresh Fruit and Vegetables (CoHP FFV) provides a general framework of recommendations across </w:t>
      </w:r>
      <w:r>
        <w:t xml:space="preserve">primary production and primary processing activities for </w:t>
      </w:r>
      <w:r w:rsidR="00202084">
        <w:t>the horticulture sector with annexes containing additional requirements for RTE, fresh, pre-cut fruits and vegetables, sprout production fresh leafy vegetables, melons and berries (see section 3.2.5 of SD2).</w:t>
      </w:r>
    </w:p>
    <w:p w14:paraId="42C206C8" w14:textId="007CCED4" w:rsidR="00202084" w:rsidRDefault="00202084" w:rsidP="00CC0AF6">
      <w:pPr>
        <w:pStyle w:val="Janem"/>
        <w:numPr>
          <w:ilvl w:val="0"/>
          <w:numId w:val="0"/>
        </w:numPr>
      </w:pPr>
    </w:p>
    <w:p w14:paraId="76A943BD" w14:textId="3DEABAE2" w:rsidR="00BC767E" w:rsidRDefault="00AC16CE" w:rsidP="00CC0AF6">
      <w:pPr>
        <w:pStyle w:val="Janem"/>
        <w:numPr>
          <w:ilvl w:val="0"/>
          <w:numId w:val="0"/>
        </w:numPr>
      </w:pPr>
      <w:r>
        <w:t>Although not directly comparable, differences in</w:t>
      </w:r>
      <w:r w:rsidR="00D144D4">
        <w:t xml:space="preserve"> key terms </w:t>
      </w:r>
      <w:r>
        <w:t xml:space="preserve">used </w:t>
      </w:r>
      <w:r w:rsidR="00D144D4">
        <w:t>in the CoHP FFV and the Code</w:t>
      </w:r>
      <w:r>
        <w:t xml:space="preserve"> </w:t>
      </w:r>
      <w:r w:rsidR="00C30466">
        <w:t>mean different</w:t>
      </w:r>
      <w:r>
        <w:t xml:space="preserve"> food safety requirements </w:t>
      </w:r>
      <w:r w:rsidR="00C30466">
        <w:t xml:space="preserve">could </w:t>
      </w:r>
      <w:r w:rsidR="00BC767E">
        <w:t xml:space="preserve">apply </w:t>
      </w:r>
      <w:r>
        <w:t>at different stages of the supply chain.</w:t>
      </w:r>
      <w:r w:rsidR="00BC767E">
        <w:t xml:space="preserve"> </w:t>
      </w:r>
      <w:r>
        <w:t xml:space="preserve">According to Codex, primary production ends once product is field-packed and transported to the packing facility – regardless if this </w:t>
      </w:r>
      <w:r w:rsidR="00BC767E">
        <w:t xml:space="preserve">facility </w:t>
      </w:r>
      <w:r w:rsidR="00294846">
        <w:t xml:space="preserve">is </w:t>
      </w:r>
      <w:r w:rsidR="00BC767E">
        <w:t xml:space="preserve">also located </w:t>
      </w:r>
      <w:r>
        <w:t>on the property where the product was grown. Post-harvest activities are those involving minimal transformation including washing, sorting, culling, grading, cutting and trimming.</w:t>
      </w:r>
      <w:r w:rsidR="00BC767E">
        <w:t xml:space="preserve"> </w:t>
      </w:r>
    </w:p>
    <w:p w14:paraId="58872828" w14:textId="77777777" w:rsidR="00BC767E" w:rsidRDefault="00BC767E" w:rsidP="00CC0AF6">
      <w:pPr>
        <w:pStyle w:val="Janem"/>
        <w:numPr>
          <w:ilvl w:val="0"/>
          <w:numId w:val="0"/>
        </w:numPr>
      </w:pPr>
    </w:p>
    <w:p w14:paraId="0A9972AE" w14:textId="2AD213DA" w:rsidR="000D64DC" w:rsidRDefault="00BC767E" w:rsidP="000D64DC">
      <w:pPr>
        <w:pStyle w:val="Janem"/>
        <w:numPr>
          <w:ilvl w:val="0"/>
          <w:numId w:val="0"/>
        </w:numPr>
      </w:pPr>
      <w:r>
        <w:t xml:space="preserve">As discussed earlier (see section 4.1), the Code applies to food for sale and excludes ‘primary food production’ from the definition of a ‘food business’ unless they sell food directly to the public. </w:t>
      </w:r>
    </w:p>
    <w:p w14:paraId="33FEEE20" w14:textId="77777777" w:rsidR="000D64DC" w:rsidRDefault="000D64DC" w:rsidP="000D64DC">
      <w:pPr>
        <w:pStyle w:val="Heading2"/>
      </w:pPr>
      <w:bookmarkStart w:id="136" w:name="_Toc27667552"/>
      <w:bookmarkStart w:id="137" w:name="_Toc28953774"/>
      <w:bookmarkStart w:id="138" w:name="_Toc29288670"/>
      <w:bookmarkStart w:id="139" w:name="_Toc29998552"/>
      <w:r>
        <w:t>4.3</w:t>
      </w:r>
      <w:r>
        <w:tab/>
        <w:t>Options</w:t>
      </w:r>
      <w:bookmarkEnd w:id="136"/>
      <w:bookmarkEnd w:id="137"/>
      <w:bookmarkEnd w:id="138"/>
      <w:bookmarkEnd w:id="139"/>
    </w:p>
    <w:p w14:paraId="2727D3FF" w14:textId="2FB8A27B" w:rsidR="008009AD" w:rsidRDefault="008009AD" w:rsidP="008009AD">
      <w:pPr>
        <w:pStyle w:val="FSBullet"/>
        <w:ind w:left="0" w:firstLine="0"/>
      </w:pPr>
      <w:r>
        <w:t>T</w:t>
      </w:r>
      <w:r w:rsidR="000D64DC" w:rsidRPr="00C45E62">
        <w:t>o decide the most effective and efficient risk management approach, FSANZ must consider various options.</w:t>
      </w:r>
      <w:r w:rsidRPr="008009AD">
        <w:t xml:space="preserve"> </w:t>
      </w:r>
      <w:r>
        <w:t>T</w:t>
      </w:r>
      <w:r w:rsidR="00C30B63">
        <w:t>he</w:t>
      </w:r>
      <w:r w:rsidR="009417FA">
        <w:t xml:space="preserve">se </w:t>
      </w:r>
      <w:r>
        <w:t>options are considered below.</w:t>
      </w:r>
    </w:p>
    <w:p w14:paraId="3E795CBB" w14:textId="77777777" w:rsidR="008009AD" w:rsidRDefault="008009AD" w:rsidP="008009AD">
      <w:pPr>
        <w:pStyle w:val="FSBullet"/>
        <w:ind w:left="0" w:firstLine="0"/>
      </w:pPr>
    </w:p>
    <w:p w14:paraId="6A5B6497" w14:textId="2147CA7B" w:rsidR="000D64DC" w:rsidRPr="000A65F6" w:rsidRDefault="001927D5" w:rsidP="008009AD">
      <w:pPr>
        <w:pStyle w:val="FSBullet"/>
        <w:ind w:left="0" w:firstLine="0"/>
      </w:pPr>
      <w:r>
        <w:t>Based on</w:t>
      </w:r>
      <w:r w:rsidR="008009AD">
        <w:t xml:space="preserve"> our</w:t>
      </w:r>
      <w:r w:rsidR="000D64DC">
        <w:t xml:space="preserve"> assessment to date</w:t>
      </w:r>
      <w:r w:rsidR="008009AD">
        <w:t xml:space="preserve"> and th</w:t>
      </w:r>
      <w:r w:rsidR="000D64DC">
        <w:t xml:space="preserve">e current lack of </w:t>
      </w:r>
      <w:r w:rsidR="008009AD">
        <w:t xml:space="preserve">nationally consistent </w:t>
      </w:r>
      <w:r>
        <w:t xml:space="preserve">regulatory requirements, our preferred </w:t>
      </w:r>
      <w:r w:rsidR="000D64DC">
        <w:t xml:space="preserve">approach </w:t>
      </w:r>
      <w:r w:rsidR="00F551D5">
        <w:t xml:space="preserve">at present </w:t>
      </w:r>
      <w:r w:rsidR="000D64DC">
        <w:t>is development of regulatory measures (Option 2).</w:t>
      </w:r>
    </w:p>
    <w:p w14:paraId="4F2EF4C2" w14:textId="77777777" w:rsidR="000D64DC" w:rsidRDefault="000D64DC" w:rsidP="000D64DC"/>
    <w:p w14:paraId="577092A3" w14:textId="77777777" w:rsidR="000D64DC" w:rsidRPr="00927201" w:rsidRDefault="000D64DC" w:rsidP="000D64DC">
      <w:pPr>
        <w:keepNext/>
        <w:rPr>
          <w:b/>
          <w:i/>
        </w:rPr>
      </w:pPr>
      <w:r>
        <w:rPr>
          <w:b/>
          <w:i/>
        </w:rPr>
        <w:t>Option 1 – Status q</w:t>
      </w:r>
      <w:r w:rsidRPr="00927201">
        <w:rPr>
          <w:b/>
          <w:i/>
        </w:rPr>
        <w:t>uo</w:t>
      </w:r>
    </w:p>
    <w:p w14:paraId="14B66117" w14:textId="77777777" w:rsidR="000D64DC" w:rsidRDefault="000D64DC" w:rsidP="000D64DC">
      <w:pPr>
        <w:keepNext/>
      </w:pPr>
    </w:p>
    <w:p w14:paraId="33B77C15" w14:textId="5996F81C" w:rsidR="000D64DC" w:rsidRDefault="000D64DC" w:rsidP="000D64DC">
      <w:pPr>
        <w:pStyle w:val="Header"/>
        <w:rPr>
          <w:rFonts w:cs="Arial"/>
        </w:rPr>
      </w:pPr>
      <w:r>
        <w:rPr>
          <w:rFonts w:cs="Arial"/>
        </w:rPr>
        <w:t xml:space="preserve">The status quo must be considered by FSANZ in any proposal to change regulation. </w:t>
      </w:r>
      <w:r w:rsidRPr="00AC31FD">
        <w:rPr>
          <w:rFonts w:cs="Arial"/>
        </w:rPr>
        <w:t>Under the status quo, there is no nationally consistent set of food safety requirements for horticultural produc</w:t>
      </w:r>
      <w:r>
        <w:rPr>
          <w:rFonts w:cs="Arial"/>
        </w:rPr>
        <w:t>e</w:t>
      </w:r>
      <w:r w:rsidRPr="00AC31FD">
        <w:rPr>
          <w:rFonts w:cs="Arial"/>
        </w:rPr>
        <w:t>. Existing measures are non-regulatory</w:t>
      </w:r>
      <w:r>
        <w:rPr>
          <w:rFonts w:cs="Arial"/>
        </w:rPr>
        <w:t xml:space="preserve"> </w:t>
      </w:r>
      <w:r w:rsidR="00A92B3D">
        <w:rPr>
          <w:rFonts w:cs="Arial"/>
        </w:rPr>
        <w:t xml:space="preserve">comprising of a range of </w:t>
      </w:r>
      <w:r w:rsidRPr="00AC31FD">
        <w:rPr>
          <w:rFonts w:cs="Arial"/>
        </w:rPr>
        <w:t xml:space="preserve"> industry schemes</w:t>
      </w:r>
      <w:r w:rsidR="000E019B">
        <w:rPr>
          <w:rFonts w:cs="Arial"/>
        </w:rPr>
        <w:t xml:space="preserve">. </w:t>
      </w:r>
    </w:p>
    <w:p w14:paraId="21200B78" w14:textId="77777777" w:rsidR="000D64DC" w:rsidRDefault="000D64DC" w:rsidP="000D64DC">
      <w:pPr>
        <w:pStyle w:val="Header"/>
        <w:rPr>
          <w:rFonts w:cs="Arial"/>
        </w:rPr>
      </w:pPr>
    </w:p>
    <w:p w14:paraId="6564CC43" w14:textId="338DF808" w:rsidR="000D64DC" w:rsidRDefault="001927D5" w:rsidP="000D64DC">
      <w:pPr>
        <w:pStyle w:val="Header"/>
        <w:rPr>
          <w:rFonts w:cs="Arial"/>
        </w:rPr>
      </w:pPr>
      <w:r>
        <w:rPr>
          <w:rFonts w:cs="Arial"/>
        </w:rPr>
        <w:t>Based on our assessment to date, this a</w:t>
      </w:r>
      <w:r w:rsidR="000D64DC">
        <w:rPr>
          <w:rFonts w:cs="Arial"/>
        </w:rPr>
        <w:t>ppears not to be an option that effective</w:t>
      </w:r>
      <w:r>
        <w:rPr>
          <w:rFonts w:cs="Arial"/>
        </w:rPr>
        <w:t>ly</w:t>
      </w:r>
      <w:r w:rsidR="000D64DC">
        <w:rPr>
          <w:rFonts w:cs="Arial"/>
        </w:rPr>
        <w:t xml:space="preserve"> manages the risk</w:t>
      </w:r>
      <w:r>
        <w:rPr>
          <w:rFonts w:cs="Arial"/>
        </w:rPr>
        <w:t>.</w:t>
      </w:r>
    </w:p>
    <w:p w14:paraId="18AB34F2" w14:textId="77777777" w:rsidR="000D64DC" w:rsidRDefault="000D64DC" w:rsidP="000D64DC"/>
    <w:p w14:paraId="7B1AF3AA" w14:textId="77777777" w:rsidR="000D64DC" w:rsidRPr="00927201" w:rsidRDefault="000D64DC" w:rsidP="000D64DC">
      <w:pPr>
        <w:keepNext/>
        <w:keepLines/>
        <w:rPr>
          <w:b/>
          <w:i/>
        </w:rPr>
      </w:pPr>
      <w:r w:rsidRPr="00927201">
        <w:rPr>
          <w:b/>
          <w:i/>
        </w:rPr>
        <w:t>Option 2 – Food regulatory measures</w:t>
      </w:r>
    </w:p>
    <w:p w14:paraId="5402B319" w14:textId="0C3FE8D4" w:rsidR="000D64DC" w:rsidRDefault="000D64DC" w:rsidP="000D64DC">
      <w:pPr>
        <w:keepNext/>
        <w:keepLines/>
      </w:pPr>
    </w:p>
    <w:p w14:paraId="0AD3C777" w14:textId="4FC7CB90" w:rsidR="00DD51E0" w:rsidRDefault="00DD51E0" w:rsidP="000D64DC">
      <w:pPr>
        <w:keepNext/>
        <w:keepLines/>
      </w:pPr>
      <w:r>
        <w:t xml:space="preserve">Information received in submissions and further assessment will inform </w:t>
      </w:r>
      <w:r w:rsidR="00F551D5">
        <w:t>our</w:t>
      </w:r>
      <w:r w:rsidR="002F07F2">
        <w:t xml:space="preserve"> </w:t>
      </w:r>
      <w:r w:rsidR="00F551D5">
        <w:rPr>
          <w:lang w:bidi="ar-SA"/>
        </w:rPr>
        <w:t>decision whether to prepare a regulatory measure and, if so, the form that that measure will take</w:t>
      </w:r>
      <w:r w:rsidR="00F551D5">
        <w:t xml:space="preserve">. </w:t>
      </w:r>
      <w:r w:rsidR="002F07F2">
        <w:t xml:space="preserve">Options </w:t>
      </w:r>
      <w:r w:rsidR="00F551D5">
        <w:t xml:space="preserve">for regulatory measures </w:t>
      </w:r>
      <w:r w:rsidR="002F07F2">
        <w:t>may include:</w:t>
      </w:r>
    </w:p>
    <w:p w14:paraId="6F27CEAD" w14:textId="77777777" w:rsidR="002F07F2" w:rsidRDefault="002F07F2" w:rsidP="000D64DC">
      <w:pPr>
        <w:keepNext/>
        <w:keepLines/>
      </w:pPr>
    </w:p>
    <w:p w14:paraId="2E240EAD" w14:textId="2BBD2D51" w:rsidR="000D64DC" w:rsidRPr="00611BDE" w:rsidRDefault="000D64DC" w:rsidP="002F07F2">
      <w:pPr>
        <w:pStyle w:val="Header"/>
        <w:keepNext/>
        <w:keepLines/>
        <w:ind w:left="851" w:hanging="851"/>
        <w:rPr>
          <w:rFonts w:cs="Arial"/>
          <w:b/>
        </w:rPr>
      </w:pPr>
      <w:r w:rsidRPr="00611BDE">
        <w:rPr>
          <w:rFonts w:cs="Arial"/>
          <w:b/>
        </w:rPr>
        <w:t xml:space="preserve">2.A </w:t>
      </w:r>
      <w:r w:rsidR="00611BDE" w:rsidRPr="00611BDE">
        <w:rPr>
          <w:rFonts w:cs="Arial"/>
          <w:b/>
        </w:rPr>
        <w:tab/>
      </w:r>
      <w:r w:rsidRPr="00611BDE">
        <w:rPr>
          <w:rFonts w:cs="Arial"/>
          <w:b/>
        </w:rPr>
        <w:t xml:space="preserve">Amendment of </w:t>
      </w:r>
      <w:r w:rsidR="00F551D5">
        <w:rPr>
          <w:rFonts w:cs="Arial"/>
          <w:b/>
        </w:rPr>
        <w:t>State and Territory Food Acts</w:t>
      </w:r>
      <w:r w:rsidR="00166A79">
        <w:rPr>
          <w:rFonts w:cs="Arial"/>
          <w:b/>
        </w:rPr>
        <w:t xml:space="preserve"> </w:t>
      </w:r>
    </w:p>
    <w:p w14:paraId="3853CEAD" w14:textId="77777777" w:rsidR="000D64DC" w:rsidRDefault="000D64DC" w:rsidP="000D64DC">
      <w:pPr>
        <w:pStyle w:val="Header"/>
        <w:keepNext/>
        <w:keepLines/>
        <w:rPr>
          <w:rFonts w:cs="Arial"/>
        </w:rPr>
      </w:pPr>
    </w:p>
    <w:p w14:paraId="012DEDE7" w14:textId="101BB6FE" w:rsidR="00611BDE" w:rsidRPr="00201D1F" w:rsidRDefault="00611BDE" w:rsidP="00201D1F">
      <w:pPr>
        <w:pStyle w:val="Janem"/>
        <w:numPr>
          <w:ilvl w:val="0"/>
          <w:numId w:val="0"/>
        </w:numPr>
      </w:pPr>
      <w:r w:rsidRPr="00201D1F">
        <w:t xml:space="preserve">The Inter-Government Agreement on Food requires jurisdictions to adopt and use in their Food Acts the provisions in Annex A of that Agreement. These include the model definitions of ‘food business’ and ‘primary food production’. The intent was to ensure a uniform scheme and consistency between the Code (definitions) and the state and territory laws </w:t>
      </w:r>
      <w:r w:rsidR="006B4263" w:rsidRPr="00201D1F">
        <w:t>(</w:t>
      </w:r>
      <w:r w:rsidRPr="00201D1F">
        <w:t>Food Acts</w:t>
      </w:r>
      <w:r w:rsidR="006B4263" w:rsidRPr="00201D1F">
        <w:t>)</w:t>
      </w:r>
      <w:r w:rsidRPr="00201D1F">
        <w:t xml:space="preserve"> that rely on the Code.</w:t>
      </w:r>
      <w:r w:rsidR="00DD51E0" w:rsidRPr="00201D1F">
        <w:t xml:space="preserve"> Some jurisdictions have amended the definitions of ‘food business’ and ‘primary food production’ in their Food Acts to apply food safety requirements to horticulture primary production and processing.</w:t>
      </w:r>
    </w:p>
    <w:p w14:paraId="32E635A5" w14:textId="77777777" w:rsidR="00611BDE" w:rsidRPr="00201D1F" w:rsidRDefault="00611BDE" w:rsidP="00201D1F">
      <w:pPr>
        <w:pStyle w:val="Janem"/>
        <w:numPr>
          <w:ilvl w:val="0"/>
          <w:numId w:val="0"/>
        </w:numPr>
      </w:pPr>
    </w:p>
    <w:p w14:paraId="4357DBA2" w14:textId="33E66139" w:rsidR="00DD51E0" w:rsidRPr="00201D1F" w:rsidRDefault="00DD51E0" w:rsidP="00201D1F">
      <w:pPr>
        <w:pStyle w:val="Janem"/>
        <w:numPr>
          <w:ilvl w:val="0"/>
          <w:numId w:val="0"/>
        </w:numPr>
      </w:pPr>
      <w:r w:rsidRPr="00201D1F">
        <w:t xml:space="preserve">At the </w:t>
      </w:r>
      <w:r w:rsidR="009417FA">
        <w:t>November 2019</w:t>
      </w:r>
      <w:r w:rsidRPr="00201D1F">
        <w:t xml:space="preserve"> Forum</w:t>
      </w:r>
      <w:r w:rsidR="009417FA">
        <w:t xml:space="preserve"> meeting</w:t>
      </w:r>
      <w:r w:rsidRPr="00201D1F">
        <w:t>, ministers agreed to comprehensive</w:t>
      </w:r>
      <w:r w:rsidR="006B4263" w:rsidRPr="00201D1F">
        <w:t>ly</w:t>
      </w:r>
      <w:r w:rsidRPr="00201D1F">
        <w:t xml:space="preserve"> review the food regulation system</w:t>
      </w:r>
      <w:r w:rsidR="00697241" w:rsidRPr="00201D1F">
        <w:t>,</w:t>
      </w:r>
      <w:r w:rsidRPr="00201D1F">
        <w:t xml:space="preserve"> including its legislative foundation</w:t>
      </w:r>
      <w:r w:rsidR="00697241" w:rsidRPr="00201D1F">
        <w:t>,</w:t>
      </w:r>
      <w:r w:rsidRPr="00201D1F">
        <w:t xml:space="preserve"> which would include the FSANZ Act and Code, </w:t>
      </w:r>
      <w:r w:rsidR="006B4263" w:rsidRPr="00201D1F">
        <w:t xml:space="preserve">and </w:t>
      </w:r>
      <w:r w:rsidRPr="00201D1F">
        <w:t>Model Food Provisions.</w:t>
      </w:r>
    </w:p>
    <w:p w14:paraId="54A28552" w14:textId="77777777" w:rsidR="00DD51E0" w:rsidRPr="00201D1F" w:rsidRDefault="00DD51E0" w:rsidP="00201D1F">
      <w:pPr>
        <w:pStyle w:val="Janem"/>
        <w:numPr>
          <w:ilvl w:val="0"/>
          <w:numId w:val="0"/>
        </w:numPr>
      </w:pPr>
    </w:p>
    <w:p w14:paraId="037B6983" w14:textId="6C2A6350" w:rsidR="000D64DC" w:rsidRPr="00201D1F" w:rsidRDefault="002F07F2" w:rsidP="00201D1F">
      <w:pPr>
        <w:pStyle w:val="Janem"/>
        <w:numPr>
          <w:ilvl w:val="0"/>
          <w:numId w:val="0"/>
        </w:numPr>
      </w:pPr>
      <w:r w:rsidRPr="00201D1F">
        <w:lastRenderedPageBreak/>
        <w:t>S</w:t>
      </w:r>
      <w:r w:rsidR="000D64DC" w:rsidRPr="00201D1F">
        <w:t xml:space="preserve">tates and territories </w:t>
      </w:r>
      <w:r w:rsidRPr="00201D1F">
        <w:t xml:space="preserve">could </w:t>
      </w:r>
      <w:r w:rsidR="000D64DC" w:rsidRPr="00201D1F">
        <w:t xml:space="preserve">amend </w:t>
      </w:r>
      <w:r w:rsidRPr="00201D1F">
        <w:t>the definitions of ‘food business’ and ‘primary food production’ in their own Acts</w:t>
      </w:r>
      <w:r w:rsidR="00DD51E0" w:rsidRPr="00201D1F">
        <w:t xml:space="preserve">, </w:t>
      </w:r>
      <w:r w:rsidR="000D64DC" w:rsidRPr="00201D1F">
        <w:t>as some have done already</w:t>
      </w:r>
      <w:r w:rsidR="00DD51E0" w:rsidRPr="00201D1F">
        <w:t xml:space="preserve">, </w:t>
      </w:r>
      <w:r w:rsidRPr="00201D1F">
        <w:t xml:space="preserve">to apply existing Chapter 3 food safety requirements, </w:t>
      </w:r>
      <w:r w:rsidR="00DD51E0" w:rsidRPr="00201D1F">
        <w:t xml:space="preserve">or </w:t>
      </w:r>
      <w:r w:rsidRPr="00201D1F">
        <w:t xml:space="preserve">await the outcome of the </w:t>
      </w:r>
      <w:r w:rsidR="00212BC4" w:rsidRPr="00201D1F">
        <w:t>review of the food regulatory system</w:t>
      </w:r>
      <w:r w:rsidR="000D64DC" w:rsidRPr="00201D1F">
        <w:t>.</w:t>
      </w:r>
    </w:p>
    <w:p w14:paraId="71190F60" w14:textId="77777777" w:rsidR="000D64DC" w:rsidRDefault="000D64DC" w:rsidP="000D64DC">
      <w:pPr>
        <w:pStyle w:val="Header"/>
        <w:keepNext/>
        <w:keepLines/>
        <w:rPr>
          <w:rFonts w:cs="Arial"/>
        </w:rPr>
      </w:pPr>
    </w:p>
    <w:p w14:paraId="696FC0C2" w14:textId="7FF446A5" w:rsidR="000D64DC" w:rsidRPr="002F07F2" w:rsidRDefault="002F07F2" w:rsidP="002F07F2">
      <w:pPr>
        <w:pStyle w:val="Header"/>
        <w:keepNext/>
        <w:keepLines/>
        <w:ind w:left="851" w:hanging="851"/>
        <w:rPr>
          <w:rFonts w:cs="Arial"/>
          <w:b/>
        </w:rPr>
      </w:pPr>
      <w:r>
        <w:rPr>
          <w:rFonts w:cs="Arial"/>
          <w:b/>
        </w:rPr>
        <w:t>2.B</w:t>
      </w:r>
      <w:r>
        <w:rPr>
          <w:rFonts w:cs="Arial"/>
          <w:b/>
        </w:rPr>
        <w:tab/>
      </w:r>
      <w:r w:rsidR="000D64DC" w:rsidRPr="002F07F2">
        <w:rPr>
          <w:rFonts w:cs="Arial"/>
          <w:b/>
        </w:rPr>
        <w:t>Variations to the Code</w:t>
      </w:r>
    </w:p>
    <w:p w14:paraId="20EE7ADF" w14:textId="77777777" w:rsidR="002F07F2" w:rsidRDefault="002F07F2" w:rsidP="000D64DC">
      <w:pPr>
        <w:pStyle w:val="Header"/>
        <w:keepNext/>
        <w:keepLines/>
        <w:rPr>
          <w:rFonts w:cs="Arial"/>
        </w:rPr>
      </w:pPr>
    </w:p>
    <w:p w14:paraId="7F42C3D7" w14:textId="194B95CD" w:rsidR="000D64DC" w:rsidRPr="006B0A22" w:rsidRDefault="002F07F2" w:rsidP="000D64DC">
      <w:pPr>
        <w:pStyle w:val="Header"/>
        <w:keepNext/>
        <w:keepLines/>
        <w:rPr>
          <w:rFonts w:cs="Arial"/>
        </w:rPr>
      </w:pPr>
      <w:r>
        <w:rPr>
          <w:rFonts w:cs="Arial"/>
        </w:rPr>
        <w:t>This option would involve d</w:t>
      </w:r>
      <w:r w:rsidR="000D64DC" w:rsidRPr="006B0A22">
        <w:rPr>
          <w:rFonts w:cs="Arial"/>
        </w:rPr>
        <w:t>eveloping</w:t>
      </w:r>
      <w:r>
        <w:rPr>
          <w:rFonts w:cs="Arial"/>
        </w:rPr>
        <w:t>, or varying,</w:t>
      </w:r>
      <w:r w:rsidR="000D64DC" w:rsidRPr="006B0A22">
        <w:rPr>
          <w:rFonts w:cs="Arial"/>
        </w:rPr>
        <w:t xml:space="preserve"> food safety requirements </w:t>
      </w:r>
      <w:r w:rsidR="00E2417F">
        <w:rPr>
          <w:rFonts w:cs="Arial"/>
        </w:rPr>
        <w:t>for high</w:t>
      </w:r>
      <w:r w:rsidR="00697241">
        <w:rPr>
          <w:rFonts w:cs="Arial"/>
        </w:rPr>
        <w:t>-</w:t>
      </w:r>
      <w:r w:rsidR="000E019B">
        <w:rPr>
          <w:rFonts w:cs="Arial"/>
        </w:rPr>
        <w:t>risk horticulture</w:t>
      </w:r>
      <w:r w:rsidR="00E2417F">
        <w:rPr>
          <w:rFonts w:cs="Arial"/>
        </w:rPr>
        <w:t xml:space="preserve"> products</w:t>
      </w:r>
      <w:r w:rsidR="000D64DC" w:rsidRPr="006B0A22">
        <w:rPr>
          <w:rFonts w:cs="Arial"/>
        </w:rPr>
        <w:t xml:space="preserve"> in the Code</w:t>
      </w:r>
      <w:r w:rsidR="000D64DC">
        <w:rPr>
          <w:rFonts w:cs="Arial"/>
        </w:rPr>
        <w:t xml:space="preserve"> which would apply nationally</w:t>
      </w:r>
      <w:r w:rsidR="00F551D5">
        <w:rPr>
          <w:rFonts w:cs="Arial"/>
        </w:rPr>
        <w:t xml:space="preserve"> by and as part of State and Territory food laws</w:t>
      </w:r>
      <w:r w:rsidR="000D64DC">
        <w:rPr>
          <w:rFonts w:cs="Arial"/>
        </w:rPr>
        <w:t xml:space="preserve">. These requirements </w:t>
      </w:r>
      <w:r w:rsidR="000D64DC" w:rsidRPr="006B0A22">
        <w:rPr>
          <w:rFonts w:cs="Arial"/>
        </w:rPr>
        <w:t>may be supported by non-regulatory measures such as industry guidance</w:t>
      </w:r>
      <w:r w:rsidR="000D64DC">
        <w:rPr>
          <w:rFonts w:cs="Arial"/>
        </w:rPr>
        <w:t xml:space="preserve">, promotion of food safety culture </w:t>
      </w:r>
      <w:r w:rsidR="000D64DC" w:rsidRPr="006B0A22">
        <w:rPr>
          <w:rFonts w:cs="Arial"/>
        </w:rPr>
        <w:t xml:space="preserve">or consumer education. </w:t>
      </w:r>
    </w:p>
    <w:p w14:paraId="3F60087D" w14:textId="32DEE529" w:rsidR="000D64DC" w:rsidRDefault="000D64DC" w:rsidP="000D64DC">
      <w:pPr>
        <w:pStyle w:val="Header"/>
        <w:rPr>
          <w:rFonts w:cs="Arial"/>
        </w:rPr>
      </w:pPr>
    </w:p>
    <w:p w14:paraId="6580E77A" w14:textId="05973ADD" w:rsidR="002F07F2" w:rsidRPr="002F07F2" w:rsidRDefault="002F07F2" w:rsidP="002F07F2">
      <w:pPr>
        <w:pStyle w:val="Header"/>
        <w:keepNext/>
        <w:keepLines/>
        <w:ind w:left="851" w:hanging="851"/>
        <w:rPr>
          <w:rFonts w:cs="Arial"/>
          <w:b/>
          <w:i/>
        </w:rPr>
      </w:pPr>
      <w:r>
        <w:rPr>
          <w:rFonts w:cs="Arial"/>
          <w:b/>
          <w:i/>
        </w:rPr>
        <w:t>2.B.1</w:t>
      </w:r>
      <w:r>
        <w:rPr>
          <w:rFonts w:cs="Arial"/>
          <w:b/>
          <w:i/>
        </w:rPr>
        <w:tab/>
      </w:r>
      <w:r w:rsidRPr="002F07F2">
        <w:rPr>
          <w:rFonts w:cs="Arial"/>
          <w:b/>
          <w:i/>
        </w:rPr>
        <w:t>Code definitions</w:t>
      </w:r>
    </w:p>
    <w:p w14:paraId="3F8B0161" w14:textId="77777777" w:rsidR="002F07F2" w:rsidRDefault="002F07F2" w:rsidP="002F07F2">
      <w:pPr>
        <w:widowControl/>
        <w:rPr>
          <w:rFonts w:cs="Arial"/>
          <w:szCs w:val="22"/>
          <w:lang w:bidi="ar-SA"/>
        </w:rPr>
      </w:pPr>
    </w:p>
    <w:p w14:paraId="6297E62E" w14:textId="5960A2CA" w:rsidR="002F07F2" w:rsidRPr="00FB1458" w:rsidRDefault="002F07F2" w:rsidP="00534422">
      <w:pPr>
        <w:pStyle w:val="Janem"/>
        <w:numPr>
          <w:ilvl w:val="0"/>
          <w:numId w:val="0"/>
        </w:numPr>
      </w:pPr>
      <w:r>
        <w:t>Definitions</w:t>
      </w:r>
      <w:r w:rsidR="00534422">
        <w:t xml:space="preserve"> of food business and primary food production</w:t>
      </w:r>
      <w:r>
        <w:t xml:space="preserve"> in Chapter 3 are activity based and not </w:t>
      </w:r>
      <w:r w:rsidR="00534422">
        <w:t xml:space="preserve">location based. Based on these, </w:t>
      </w:r>
      <w:r>
        <w:t>on</w:t>
      </w:r>
      <w:r>
        <w:noBreakHyphen/>
        <w:t xml:space="preserve">farm packing, treating or storing of food, where the food handled was grown on the same premises, and is not sold directly to the consumer, is a primary production activity and is not covered by </w:t>
      </w:r>
      <w:r w:rsidR="00534422">
        <w:t>Chapter 3</w:t>
      </w:r>
      <w:r>
        <w:t xml:space="preserve"> standards. </w:t>
      </w:r>
      <w:r w:rsidR="00534422">
        <w:t>Re</w:t>
      </w:r>
      <w:r w:rsidRPr="00FB1458">
        <w:t xml:space="preserve">quirements could apply to activities such as washing, trimming, packing and other post-harvest treatments </w:t>
      </w:r>
      <w:r>
        <w:t>if</w:t>
      </w:r>
      <w:r w:rsidRPr="00FB1458">
        <w:t xml:space="preserve"> these </w:t>
      </w:r>
      <w:r>
        <w:t>activities occur</w:t>
      </w:r>
      <w:r w:rsidRPr="00FB1458">
        <w:t xml:space="preserve"> on premises </w:t>
      </w:r>
      <w:r>
        <w:t>other than where the produce was grown.</w:t>
      </w:r>
      <w:r w:rsidRPr="00FB1458">
        <w:t xml:space="preserve"> Requirements </w:t>
      </w:r>
      <w:r>
        <w:t>for</w:t>
      </w:r>
      <w:r w:rsidRPr="00FB1458">
        <w:t xml:space="preserve"> food transport also apply to the transport of fresh produce except for on-farm transport activities.</w:t>
      </w:r>
    </w:p>
    <w:p w14:paraId="786658E9" w14:textId="77777777" w:rsidR="002F07F2" w:rsidRPr="00FB1458" w:rsidRDefault="002F07F2" w:rsidP="002F07F2"/>
    <w:p w14:paraId="4628AAB4" w14:textId="4C11DF7C" w:rsidR="002F07F2" w:rsidRDefault="00217C44" w:rsidP="000D64DC">
      <w:pPr>
        <w:pStyle w:val="Header"/>
        <w:rPr>
          <w:rFonts w:cs="Arial"/>
        </w:rPr>
      </w:pPr>
      <w:r>
        <w:rPr>
          <w:rFonts w:cs="Arial"/>
        </w:rPr>
        <w:t>One option might be to amend the definition of primary food production to capture only in-field activities and transportation and delivery to the packing shed (regardless of location)</w:t>
      </w:r>
      <w:r w:rsidR="000E019B">
        <w:rPr>
          <w:rFonts w:cs="Arial"/>
        </w:rPr>
        <w:t xml:space="preserve">. </w:t>
      </w:r>
      <w:r>
        <w:rPr>
          <w:rFonts w:cs="Arial"/>
        </w:rPr>
        <w:t>This would align with the Codex definition and mean all subsequent activity would be that of a ‘food business’.</w:t>
      </w:r>
    </w:p>
    <w:p w14:paraId="0973B556" w14:textId="77777777" w:rsidR="00217C44" w:rsidRDefault="00217C44" w:rsidP="000D64DC">
      <w:pPr>
        <w:pStyle w:val="Header"/>
        <w:rPr>
          <w:rFonts w:cs="Arial"/>
        </w:rPr>
      </w:pPr>
    </w:p>
    <w:p w14:paraId="794A9422" w14:textId="599B1AA3" w:rsidR="00217C44" w:rsidRDefault="00217C44" w:rsidP="000D64DC">
      <w:pPr>
        <w:pStyle w:val="Header"/>
        <w:rPr>
          <w:rFonts w:cs="Arial"/>
        </w:rPr>
      </w:pPr>
      <w:r>
        <w:rPr>
          <w:rFonts w:cs="Arial"/>
        </w:rPr>
        <w:t>Specific standards could be developed for food businesses ‘hand</w:t>
      </w:r>
      <w:r w:rsidR="000E5B79">
        <w:rPr>
          <w:rFonts w:cs="Arial"/>
        </w:rPr>
        <w:t>l</w:t>
      </w:r>
      <w:r>
        <w:rPr>
          <w:rFonts w:cs="Arial"/>
        </w:rPr>
        <w:t>ing’, as currently defined, or selling (wholesale or retail) for high-risk horticulture.</w:t>
      </w:r>
    </w:p>
    <w:p w14:paraId="69A7CCA1" w14:textId="5BF63472" w:rsidR="00217C44" w:rsidRDefault="00217C44" w:rsidP="000D64DC">
      <w:pPr>
        <w:pStyle w:val="Header"/>
        <w:rPr>
          <w:rFonts w:cs="Arial"/>
        </w:rPr>
      </w:pPr>
    </w:p>
    <w:p w14:paraId="7C065789" w14:textId="707FB255" w:rsidR="002F07F2" w:rsidRPr="002F07F2" w:rsidRDefault="002F07F2" w:rsidP="002F07F2">
      <w:pPr>
        <w:pStyle w:val="Header"/>
        <w:keepNext/>
        <w:keepLines/>
        <w:ind w:left="851" w:hanging="851"/>
        <w:rPr>
          <w:rFonts w:cs="Arial"/>
          <w:b/>
          <w:i/>
        </w:rPr>
      </w:pPr>
      <w:r w:rsidRPr="002F07F2">
        <w:rPr>
          <w:rFonts w:cs="Arial"/>
          <w:b/>
          <w:i/>
        </w:rPr>
        <w:t>2.B.2</w:t>
      </w:r>
      <w:r>
        <w:rPr>
          <w:rFonts w:cs="Arial"/>
          <w:b/>
          <w:i/>
        </w:rPr>
        <w:tab/>
        <w:t>G</w:t>
      </w:r>
      <w:r w:rsidRPr="002F07F2">
        <w:rPr>
          <w:rFonts w:cs="Arial"/>
          <w:b/>
          <w:i/>
        </w:rPr>
        <w:t>raduated risk</w:t>
      </w:r>
      <w:r>
        <w:rPr>
          <w:rFonts w:cs="Arial"/>
          <w:b/>
          <w:i/>
        </w:rPr>
        <w:t>-</w:t>
      </w:r>
      <w:r w:rsidRPr="002F07F2">
        <w:rPr>
          <w:rFonts w:cs="Arial"/>
          <w:b/>
          <w:i/>
        </w:rPr>
        <w:t>based</w:t>
      </w:r>
      <w:r>
        <w:rPr>
          <w:rFonts w:cs="Arial"/>
          <w:b/>
          <w:i/>
        </w:rPr>
        <w:t xml:space="preserve"> approach</w:t>
      </w:r>
    </w:p>
    <w:p w14:paraId="221D089E" w14:textId="77777777" w:rsidR="000D64DC" w:rsidRDefault="000D64DC" w:rsidP="000D64DC">
      <w:pPr>
        <w:widowControl/>
        <w:rPr>
          <w:rFonts w:cs="Arial"/>
          <w:szCs w:val="22"/>
          <w:lang w:bidi="ar-SA"/>
        </w:rPr>
      </w:pPr>
    </w:p>
    <w:p w14:paraId="5E958F1A" w14:textId="16C29561" w:rsidR="002F07F2" w:rsidRDefault="002F07F2" w:rsidP="002F07F2">
      <w:pPr>
        <w:widowControl/>
        <w:rPr>
          <w:rFonts w:cs="Arial"/>
          <w:szCs w:val="22"/>
          <w:lang w:bidi="ar-SA"/>
        </w:rPr>
      </w:pPr>
      <w:r w:rsidRPr="00AC31FD">
        <w:rPr>
          <w:rFonts w:cs="Arial"/>
          <w:szCs w:val="22"/>
          <w:lang w:bidi="ar-SA"/>
        </w:rPr>
        <w:t xml:space="preserve">Under </w:t>
      </w:r>
      <w:r>
        <w:rPr>
          <w:rFonts w:cs="Arial"/>
          <w:szCs w:val="22"/>
          <w:lang w:bidi="ar-SA"/>
        </w:rPr>
        <w:t>this option</w:t>
      </w:r>
      <w:r w:rsidRPr="00AC31FD">
        <w:rPr>
          <w:rFonts w:cs="Arial"/>
          <w:szCs w:val="22"/>
          <w:lang w:bidi="ar-SA"/>
        </w:rPr>
        <w:t>, a range of regulatory approaches can be assessed</w:t>
      </w:r>
      <w:r w:rsidR="004D6411">
        <w:rPr>
          <w:rFonts w:cs="Arial"/>
          <w:szCs w:val="22"/>
          <w:lang w:bidi="ar-SA"/>
        </w:rPr>
        <w:t xml:space="preserve">. These may range from </w:t>
      </w:r>
      <w:r>
        <w:rPr>
          <w:rFonts w:cs="Arial"/>
          <w:szCs w:val="22"/>
          <w:lang w:bidi="ar-SA"/>
        </w:rPr>
        <w:t>general requirements including</w:t>
      </w:r>
      <w:r w:rsidRPr="00AC31FD">
        <w:rPr>
          <w:rFonts w:cs="Arial"/>
          <w:szCs w:val="22"/>
          <w:lang w:bidi="ar-SA"/>
        </w:rPr>
        <w:t xml:space="preserve"> management of inputs or traceability</w:t>
      </w:r>
      <w:r>
        <w:rPr>
          <w:rFonts w:cs="Arial"/>
          <w:szCs w:val="22"/>
          <w:lang w:bidi="ar-SA"/>
        </w:rPr>
        <w:t>, to more specific additional</w:t>
      </w:r>
      <w:r w:rsidRPr="002F07F2">
        <w:rPr>
          <w:rFonts w:cs="Arial"/>
          <w:szCs w:val="22"/>
          <w:lang w:bidi="ar-SA"/>
        </w:rPr>
        <w:t xml:space="preserve"> </w:t>
      </w:r>
      <w:r>
        <w:rPr>
          <w:rFonts w:cs="Arial"/>
          <w:szCs w:val="22"/>
          <w:lang w:bidi="ar-SA"/>
        </w:rPr>
        <w:t>controls for particular higher risk commodities, or</w:t>
      </w:r>
      <w:r w:rsidRPr="00AC31FD">
        <w:rPr>
          <w:rFonts w:cs="Arial"/>
          <w:szCs w:val="22"/>
          <w:lang w:bidi="ar-SA"/>
        </w:rPr>
        <w:t xml:space="preserve"> requiring a food safety management system</w:t>
      </w:r>
      <w:r w:rsidR="000E019B">
        <w:rPr>
          <w:rFonts w:cs="Arial"/>
          <w:szCs w:val="22"/>
          <w:lang w:bidi="ar-SA"/>
        </w:rPr>
        <w:t xml:space="preserve">. </w:t>
      </w:r>
    </w:p>
    <w:p w14:paraId="517857E2" w14:textId="6C0873C6" w:rsidR="000D64DC" w:rsidRDefault="000D64DC" w:rsidP="000D64DC">
      <w:pPr>
        <w:widowControl/>
        <w:rPr>
          <w:rFonts w:cs="Arial"/>
          <w:szCs w:val="22"/>
          <w:lang w:bidi="ar-SA"/>
        </w:rPr>
      </w:pPr>
    </w:p>
    <w:p w14:paraId="1B4E7396" w14:textId="0489FB39" w:rsidR="00217C44" w:rsidRDefault="00456D08" w:rsidP="000D64DC">
      <w:pPr>
        <w:widowControl/>
        <w:rPr>
          <w:rFonts w:cs="Arial"/>
          <w:szCs w:val="22"/>
          <w:lang w:bidi="ar-SA"/>
        </w:rPr>
      </w:pPr>
      <w:r>
        <w:rPr>
          <w:rFonts w:cs="Arial"/>
          <w:szCs w:val="22"/>
          <w:lang w:bidi="ar-SA"/>
        </w:rPr>
        <w:lastRenderedPageBreak/>
        <w:t xml:space="preserve">Graduated risk-based requirements may be considered for all, or some, products within each commodity group, across all or some commodities, and/or applied based on the outcomes of cost-benefit work (see section 5.2) </w:t>
      </w:r>
    </w:p>
    <w:p w14:paraId="2A083503" w14:textId="1F4F5156" w:rsidR="000D64DC" w:rsidRDefault="000D64DC" w:rsidP="000D64DC">
      <w:pPr>
        <w:pStyle w:val="Janem"/>
        <w:numPr>
          <w:ilvl w:val="0"/>
          <w:numId w:val="0"/>
        </w:numPr>
      </w:pPr>
    </w:p>
    <w:p w14:paraId="4A84D4F5" w14:textId="1C4AF7C1" w:rsidR="00217C44" w:rsidRDefault="000D64DC" w:rsidP="00217C44">
      <w:pPr>
        <w:pBdr>
          <w:top w:val="single" w:sz="4" w:space="1" w:color="auto"/>
          <w:left w:val="single" w:sz="4" w:space="1" w:color="auto"/>
          <w:bottom w:val="single" w:sz="4" w:space="1" w:color="auto"/>
          <w:right w:val="single" w:sz="4" w:space="1" w:color="auto"/>
        </w:pBdr>
        <w:shd w:val="clear" w:color="auto" w:fill="F2F2F2" w:themeFill="background1" w:themeFillShade="F2"/>
      </w:pPr>
      <w:r w:rsidRPr="00CC1227">
        <w:t>FSANZ welcomes the views of submitters on the range of regulatory approaches to be considered under Option 2</w:t>
      </w:r>
      <w:r w:rsidR="00217C44">
        <w:t>, including:</w:t>
      </w:r>
    </w:p>
    <w:p w14:paraId="4EBD53E1" w14:textId="51D75C65" w:rsidR="00217C44" w:rsidRDefault="009417FA" w:rsidP="00217C44">
      <w:pPr>
        <w:pStyle w:val="ListParagraph"/>
        <w:widowControl/>
        <w:numPr>
          <w:ilvl w:val="0"/>
          <w:numId w:val="27"/>
        </w:numPr>
        <w:pBdr>
          <w:top w:val="single" w:sz="4" w:space="1" w:color="auto"/>
          <w:left w:val="single" w:sz="4" w:space="1" w:color="auto"/>
          <w:bottom w:val="single" w:sz="4" w:space="1" w:color="auto"/>
          <w:right w:val="single" w:sz="4" w:space="1" w:color="auto"/>
        </w:pBdr>
        <w:shd w:val="clear" w:color="auto" w:fill="F2F2F2" w:themeFill="background1" w:themeFillShade="F2"/>
        <w:ind w:hanging="720"/>
        <w:rPr>
          <w:lang w:bidi="ar-SA"/>
        </w:rPr>
      </w:pPr>
      <w:r>
        <w:rPr>
          <w:lang w:bidi="ar-SA"/>
        </w:rPr>
        <w:t>W</w:t>
      </w:r>
      <w:r w:rsidR="00217C44" w:rsidRPr="00AC31FD">
        <w:rPr>
          <w:lang w:bidi="ar-SA"/>
        </w:rPr>
        <w:t xml:space="preserve">hether existing regulatory requirements (e.g. Chapter 3 requirements) should/could apply </w:t>
      </w:r>
      <w:r w:rsidR="00217C44">
        <w:rPr>
          <w:lang w:bidi="ar-SA"/>
        </w:rPr>
        <w:t>and</w:t>
      </w:r>
      <w:r w:rsidR="00217C44" w:rsidRPr="00AC31FD">
        <w:rPr>
          <w:lang w:bidi="ar-SA"/>
        </w:rPr>
        <w:t xml:space="preserve"> the feasibility/practicality of implementing and enforcing particular measures.</w:t>
      </w:r>
    </w:p>
    <w:p w14:paraId="62091B3B" w14:textId="043AC9DF" w:rsidR="00217C44" w:rsidRPr="00AC31FD" w:rsidRDefault="009417FA" w:rsidP="00217C44">
      <w:pPr>
        <w:pStyle w:val="FSBullet"/>
        <w:numPr>
          <w:ilvl w:val="0"/>
          <w:numId w:val="27"/>
        </w:numPr>
        <w:pBdr>
          <w:top w:val="single" w:sz="4" w:space="1" w:color="auto"/>
          <w:left w:val="single" w:sz="4" w:space="1" w:color="auto"/>
          <w:bottom w:val="single" w:sz="4" w:space="1" w:color="auto"/>
          <w:right w:val="single" w:sz="4" w:space="1" w:color="auto"/>
        </w:pBdr>
        <w:shd w:val="clear" w:color="auto" w:fill="F2F2F2" w:themeFill="background1" w:themeFillShade="F2"/>
        <w:ind w:hanging="720"/>
        <w:rPr>
          <w:lang w:bidi="ar-SA"/>
        </w:rPr>
      </w:pPr>
      <w:r>
        <w:rPr>
          <w:lang w:bidi="ar-SA"/>
        </w:rPr>
        <w:t>T</w:t>
      </w:r>
      <w:r w:rsidR="00217C44" w:rsidRPr="00AC31FD">
        <w:rPr>
          <w:lang w:bidi="ar-SA"/>
        </w:rPr>
        <w:t>he nature of the risk for particular commodities or production activities</w:t>
      </w:r>
    </w:p>
    <w:p w14:paraId="126693FB" w14:textId="2019DCAF" w:rsidR="00217C44" w:rsidRDefault="009417FA" w:rsidP="00217C44">
      <w:pPr>
        <w:pStyle w:val="FSBullet"/>
        <w:numPr>
          <w:ilvl w:val="0"/>
          <w:numId w:val="27"/>
        </w:numPr>
        <w:pBdr>
          <w:top w:val="single" w:sz="4" w:space="1" w:color="auto"/>
          <w:left w:val="single" w:sz="4" w:space="1" w:color="auto"/>
          <w:bottom w:val="single" w:sz="4" w:space="1" w:color="auto"/>
          <w:right w:val="single" w:sz="4" w:space="1" w:color="auto"/>
        </w:pBdr>
        <w:shd w:val="clear" w:color="auto" w:fill="F2F2F2" w:themeFill="background1" w:themeFillShade="F2"/>
        <w:ind w:hanging="720"/>
        <w:rPr>
          <w:lang w:bidi="ar-SA"/>
        </w:rPr>
      </w:pPr>
      <w:r>
        <w:rPr>
          <w:lang w:bidi="ar-SA"/>
        </w:rPr>
        <w:t>W</w:t>
      </w:r>
      <w:r w:rsidR="00217C44" w:rsidRPr="00AC31FD">
        <w:rPr>
          <w:lang w:bidi="ar-SA"/>
        </w:rPr>
        <w:t>here in the production chain (or for what products) any interventions have the greatest impact</w:t>
      </w:r>
    </w:p>
    <w:p w14:paraId="1F65F471" w14:textId="73D69962" w:rsidR="000D64DC" w:rsidRPr="00CC1227" w:rsidRDefault="009417FA" w:rsidP="00CD1B7B">
      <w:pPr>
        <w:pStyle w:val="FSBullet"/>
        <w:widowControl/>
        <w:numPr>
          <w:ilvl w:val="0"/>
          <w:numId w:val="27"/>
        </w:numPr>
        <w:pBdr>
          <w:top w:val="single" w:sz="4" w:space="1" w:color="auto"/>
          <w:left w:val="single" w:sz="4" w:space="1" w:color="auto"/>
          <w:bottom w:val="single" w:sz="4" w:space="1" w:color="auto"/>
          <w:right w:val="single" w:sz="4" w:space="1" w:color="auto"/>
        </w:pBdr>
        <w:shd w:val="clear" w:color="auto" w:fill="F2F2F2" w:themeFill="background1" w:themeFillShade="F2"/>
        <w:ind w:hanging="720"/>
      </w:pPr>
      <w:r>
        <w:rPr>
          <w:lang w:bidi="ar-SA"/>
        </w:rPr>
        <w:t>O</w:t>
      </w:r>
      <w:r w:rsidR="00217C44">
        <w:rPr>
          <w:lang w:bidi="ar-SA"/>
        </w:rPr>
        <w:t>ptions to apply a tiered regulatory approach across businesses and/or commodities proportional to risk</w:t>
      </w:r>
      <w:r w:rsidR="000D64DC" w:rsidRPr="00CC1227">
        <w:t>.</w:t>
      </w:r>
    </w:p>
    <w:p w14:paraId="022F61AC" w14:textId="77777777" w:rsidR="000D64DC" w:rsidRDefault="000D64DC" w:rsidP="00CC0AF6">
      <w:pPr>
        <w:pStyle w:val="Janem"/>
        <w:numPr>
          <w:ilvl w:val="0"/>
          <w:numId w:val="0"/>
        </w:numPr>
      </w:pPr>
    </w:p>
    <w:p w14:paraId="30F145D9" w14:textId="38354F45" w:rsidR="00E46189" w:rsidRPr="00DA3CCE" w:rsidRDefault="00CC1227" w:rsidP="001308F6">
      <w:pPr>
        <w:pStyle w:val="Heading1"/>
        <w:keepLines/>
      </w:pPr>
      <w:bookmarkStart w:id="140" w:name="_Toc29998553"/>
      <w:r>
        <w:t>5</w:t>
      </w:r>
      <w:r w:rsidR="006C5FB4">
        <w:tab/>
        <w:t xml:space="preserve">Obligations under the </w:t>
      </w:r>
      <w:r w:rsidR="00E46189" w:rsidRPr="007C1BA7">
        <w:t>FSANZ Act</w:t>
      </w:r>
      <w:bookmarkEnd w:id="133"/>
      <w:bookmarkEnd w:id="140"/>
      <w:r w:rsidR="00E46189" w:rsidRPr="00CC1227">
        <w:t xml:space="preserve"> </w:t>
      </w:r>
      <w:bookmarkEnd w:id="134"/>
      <w:bookmarkEnd w:id="135"/>
    </w:p>
    <w:p w14:paraId="11F96C53" w14:textId="64B5758E" w:rsidR="006E50BC" w:rsidRDefault="007C1BA7" w:rsidP="001308F6">
      <w:pPr>
        <w:keepNext/>
        <w:keepLines/>
        <w:rPr>
          <w:rFonts w:cs="Arial"/>
        </w:rPr>
      </w:pPr>
      <w:r>
        <w:rPr>
          <w:rFonts w:cs="Arial"/>
        </w:rPr>
        <w:t xml:space="preserve">The </w:t>
      </w:r>
      <w:r w:rsidRPr="007C1BA7">
        <w:rPr>
          <w:rFonts w:cs="Arial"/>
          <w:i/>
        </w:rPr>
        <w:t>F</w:t>
      </w:r>
      <w:r>
        <w:rPr>
          <w:rFonts w:cs="Arial"/>
          <w:i/>
        </w:rPr>
        <w:t xml:space="preserve">ood </w:t>
      </w:r>
      <w:r w:rsidRPr="007C1BA7">
        <w:rPr>
          <w:rFonts w:cs="Arial"/>
          <w:i/>
        </w:rPr>
        <w:t>S</w:t>
      </w:r>
      <w:r>
        <w:rPr>
          <w:rFonts w:cs="Arial"/>
          <w:i/>
        </w:rPr>
        <w:t xml:space="preserve">tandards </w:t>
      </w:r>
      <w:r w:rsidRPr="007C1BA7">
        <w:rPr>
          <w:rFonts w:cs="Arial"/>
          <w:i/>
        </w:rPr>
        <w:t>A</w:t>
      </w:r>
      <w:r>
        <w:rPr>
          <w:rFonts w:cs="Arial"/>
          <w:i/>
        </w:rPr>
        <w:t xml:space="preserve">ustralia </w:t>
      </w:r>
      <w:r w:rsidRPr="007C1BA7">
        <w:rPr>
          <w:rFonts w:cs="Arial"/>
          <w:i/>
        </w:rPr>
        <w:t>N</w:t>
      </w:r>
      <w:r>
        <w:rPr>
          <w:rFonts w:cs="Arial"/>
          <w:i/>
        </w:rPr>
        <w:t xml:space="preserve">ew </w:t>
      </w:r>
      <w:r w:rsidRPr="007C1BA7">
        <w:rPr>
          <w:rFonts w:cs="Arial"/>
          <w:i/>
        </w:rPr>
        <w:t>Z</w:t>
      </w:r>
      <w:r>
        <w:rPr>
          <w:rFonts w:cs="Arial"/>
          <w:i/>
        </w:rPr>
        <w:t>ealand</w:t>
      </w:r>
      <w:r w:rsidRPr="007C1BA7">
        <w:rPr>
          <w:rFonts w:cs="Arial"/>
          <w:i/>
        </w:rPr>
        <w:t xml:space="preserve"> Act 1991</w:t>
      </w:r>
      <w:r>
        <w:rPr>
          <w:rFonts w:cs="Arial"/>
        </w:rPr>
        <w:t xml:space="preserve"> (FSANZ Act) contains requirements applying to the </w:t>
      </w:r>
      <w:r w:rsidR="00EA24A8">
        <w:rPr>
          <w:rFonts w:cs="Arial"/>
        </w:rPr>
        <w:t xml:space="preserve">development or variation </w:t>
      </w:r>
      <w:r>
        <w:rPr>
          <w:rFonts w:cs="Arial"/>
        </w:rPr>
        <w:t>of standards</w:t>
      </w:r>
      <w:r w:rsidR="00CC1227">
        <w:rPr>
          <w:rFonts w:cs="Arial"/>
        </w:rPr>
        <w:t>.</w:t>
      </w:r>
      <w:r w:rsidR="003A369A">
        <w:rPr>
          <w:rFonts w:cs="Arial"/>
        </w:rPr>
        <w:t xml:space="preserve"> </w:t>
      </w:r>
      <w:r w:rsidR="00CC1227">
        <w:rPr>
          <w:rFonts w:cs="Arial"/>
        </w:rPr>
        <w:t xml:space="preserve">Under section 18 (Objectives of the Authority) of the FSANZ Act, when developing or reviewing a standard we must meet the </w:t>
      </w:r>
      <w:r w:rsidR="00CC1227" w:rsidRPr="00914030">
        <w:t>objectives</w:t>
      </w:r>
      <w:r w:rsidR="00CC1227">
        <w:rPr>
          <w:rFonts w:cs="Arial"/>
        </w:rPr>
        <w:t xml:space="preserve"> </w:t>
      </w:r>
      <w:r w:rsidR="003A369A">
        <w:rPr>
          <w:rFonts w:cs="Arial"/>
        </w:rPr>
        <w:t>outlined below</w:t>
      </w:r>
      <w:r w:rsidR="006E50BC">
        <w:rPr>
          <w:rFonts w:cs="Arial"/>
        </w:rPr>
        <w:t>.</w:t>
      </w:r>
    </w:p>
    <w:p w14:paraId="27E15C5E" w14:textId="1792CF2B" w:rsidR="00491043" w:rsidRDefault="00CC1227" w:rsidP="00CC1227">
      <w:pPr>
        <w:pStyle w:val="Heading2"/>
      </w:pPr>
      <w:bookmarkStart w:id="141" w:name="_Toc28953772"/>
      <w:bookmarkStart w:id="142" w:name="_Toc29288668"/>
      <w:bookmarkStart w:id="143" w:name="_Toc29998554"/>
      <w:r>
        <w:t>5.1</w:t>
      </w:r>
      <w:r w:rsidR="006C5FB4">
        <w:tab/>
      </w:r>
      <w:r w:rsidR="00491043">
        <w:t>FSANZ objectives</w:t>
      </w:r>
      <w:bookmarkEnd w:id="141"/>
      <w:bookmarkEnd w:id="142"/>
      <w:bookmarkEnd w:id="143"/>
    </w:p>
    <w:p w14:paraId="463ADC87" w14:textId="0E413B11" w:rsidR="00E46189" w:rsidRDefault="00443C43" w:rsidP="00443C43">
      <w:pPr>
        <w:pStyle w:val="Heading3"/>
      </w:pPr>
      <w:bookmarkStart w:id="144" w:name="_Toc29998555"/>
      <w:r>
        <w:t>5.1.1</w:t>
      </w:r>
      <w:r>
        <w:tab/>
        <w:t>P</w:t>
      </w:r>
      <w:r w:rsidR="00E46189" w:rsidRPr="00A50F85">
        <w:t>rotection of public health and safety</w:t>
      </w:r>
      <w:bookmarkEnd w:id="144"/>
    </w:p>
    <w:p w14:paraId="63BCEC51" w14:textId="71BAA61D" w:rsidR="00B45288" w:rsidRDefault="00CC1227" w:rsidP="00B45288">
      <w:r>
        <w:t xml:space="preserve">FSANZ has assessed the available evidence </w:t>
      </w:r>
      <w:r w:rsidR="00247C68">
        <w:t xml:space="preserve">and information </w:t>
      </w:r>
      <w:r w:rsidR="00B45288">
        <w:t>on the food safety risks, and risk management measures currently applying to high-risk horticulture</w:t>
      </w:r>
      <w:r w:rsidR="00443C43">
        <w:t>.</w:t>
      </w:r>
      <w:r>
        <w:t xml:space="preserve"> </w:t>
      </w:r>
      <w:r w:rsidR="00B45288">
        <w:t xml:space="preserve">Several significant foodborne illness outbreaks associated with fresh horticultural produce have occurred between 2011 and 2019 </w:t>
      </w:r>
      <w:r w:rsidR="00443C43">
        <w:t>which resulted in</w:t>
      </w:r>
      <w:r w:rsidR="00B45288">
        <w:t xml:space="preserve"> over 408 cases of illness and 9 deaths. I</w:t>
      </w:r>
      <w:r w:rsidR="00B45288" w:rsidRPr="00000888">
        <w:t xml:space="preserve">nvestigations into some of the more recent outbreaks indicated </w:t>
      </w:r>
      <w:r w:rsidR="00B45288">
        <w:t xml:space="preserve">businesses had </w:t>
      </w:r>
      <w:r w:rsidR="00B45288" w:rsidRPr="00000888">
        <w:t xml:space="preserve">food safety schemes in place, but </w:t>
      </w:r>
      <w:r w:rsidR="00443C43">
        <w:t xml:space="preserve">these </w:t>
      </w:r>
      <w:r w:rsidR="00B45288">
        <w:t>had not been</w:t>
      </w:r>
      <w:r w:rsidR="00B45288" w:rsidRPr="00000888">
        <w:t xml:space="preserve"> effective </w:t>
      </w:r>
      <w:r w:rsidR="00B45288">
        <w:t>in</w:t>
      </w:r>
      <w:r w:rsidR="00B45288" w:rsidRPr="004864BB">
        <w:t xml:space="preserve"> avoid</w:t>
      </w:r>
      <w:r w:rsidR="00B45288">
        <w:t xml:space="preserve">ing </w:t>
      </w:r>
      <w:r w:rsidR="00B45288" w:rsidRPr="00000888">
        <w:t xml:space="preserve">an outbreak. This suggests that the level of assurance provided by such schemes </w:t>
      </w:r>
      <w:r w:rsidR="001308F6">
        <w:t xml:space="preserve">alone </w:t>
      </w:r>
      <w:r w:rsidR="00697241">
        <w:t>may</w:t>
      </w:r>
      <w:r w:rsidR="00B45288" w:rsidRPr="00000888">
        <w:t xml:space="preserve"> not provide the necessary assurance to </w:t>
      </w:r>
      <w:r w:rsidR="001308F6">
        <w:t>address food safety risks and protect public health and safety.</w:t>
      </w:r>
    </w:p>
    <w:p w14:paraId="61C2BD4F" w14:textId="77777777" w:rsidR="00B45288" w:rsidRDefault="00B45288" w:rsidP="00B45288"/>
    <w:p w14:paraId="1BAC92C3" w14:textId="7A9E2500" w:rsidR="000F0B6A" w:rsidRDefault="00B45288" w:rsidP="001C5903">
      <w:r>
        <w:rPr>
          <w:rFonts w:cs="Arial"/>
        </w:rPr>
        <w:t>The ongoing issues and lack of regulatory measures for horticultural products</w:t>
      </w:r>
      <w:r w:rsidR="00443C43">
        <w:rPr>
          <w:rFonts w:cs="Arial"/>
        </w:rPr>
        <w:t xml:space="preserve"> </w:t>
      </w:r>
      <w:r w:rsidR="003C5B20">
        <w:t xml:space="preserve">suggest </w:t>
      </w:r>
      <w:r w:rsidR="006B4263">
        <w:t>the</w:t>
      </w:r>
      <w:r w:rsidR="003C5B20">
        <w:t xml:space="preserve"> current </w:t>
      </w:r>
      <w:r>
        <w:t>environment</w:t>
      </w:r>
      <w:r w:rsidR="00247C68">
        <w:t>, which relies on non-regulatory measures,</w:t>
      </w:r>
      <w:r w:rsidR="003C5B20">
        <w:t xml:space="preserve"> is not adequate to </w:t>
      </w:r>
      <w:r>
        <w:t>protect public health and safety and that regulatory measures are required.</w:t>
      </w:r>
    </w:p>
    <w:p w14:paraId="5B2B0EE4" w14:textId="7AAE182D" w:rsidR="00E46189" w:rsidRDefault="00443C43" w:rsidP="00443C43">
      <w:pPr>
        <w:pStyle w:val="Heading3"/>
      </w:pPr>
      <w:bookmarkStart w:id="145" w:name="_Toc29998556"/>
      <w:r>
        <w:lastRenderedPageBreak/>
        <w:t>5.1.2</w:t>
      </w:r>
      <w:r>
        <w:tab/>
        <w:t>P</w:t>
      </w:r>
      <w:r w:rsidR="00E46189" w:rsidRPr="00A50F85">
        <w:t>rovision of adequate information relating to food to enable consumers to make informed choices</w:t>
      </w:r>
      <w:bookmarkEnd w:id="145"/>
    </w:p>
    <w:p w14:paraId="7D562E6B" w14:textId="71F26911" w:rsidR="000F0B6A" w:rsidRPr="000F0B6A" w:rsidRDefault="00443C43" w:rsidP="00443C43">
      <w:r>
        <w:t>FSANZ has considered this and conclude this is n</w:t>
      </w:r>
      <w:r w:rsidR="000F0B6A">
        <w:t>ot relevant to this matter</w:t>
      </w:r>
      <w:r>
        <w:t>.</w:t>
      </w:r>
    </w:p>
    <w:p w14:paraId="1DE73798" w14:textId="762BD66D" w:rsidR="00E46189" w:rsidRDefault="00443C43" w:rsidP="00443C43">
      <w:pPr>
        <w:pStyle w:val="Heading3"/>
      </w:pPr>
      <w:bookmarkStart w:id="146" w:name="_Toc29998557"/>
      <w:r>
        <w:t>5.1.3</w:t>
      </w:r>
      <w:r>
        <w:tab/>
        <w:t>P</w:t>
      </w:r>
      <w:r w:rsidR="00E46189" w:rsidRPr="00A50F85">
        <w:t>revention of misleading or deceptive conduct.</w:t>
      </w:r>
      <w:bookmarkEnd w:id="146"/>
    </w:p>
    <w:p w14:paraId="4A4C71DF" w14:textId="1BE0A193" w:rsidR="00E46189" w:rsidRDefault="00443C43" w:rsidP="00E46189">
      <w:r>
        <w:t>FSANZ has not</w:t>
      </w:r>
      <w:r w:rsidR="000F0B6A">
        <w:t xml:space="preserve"> identified any issues relevant to this matter.</w:t>
      </w:r>
    </w:p>
    <w:p w14:paraId="091D9758" w14:textId="7132BD31" w:rsidR="00443C43" w:rsidRDefault="00443C43" w:rsidP="00443C43">
      <w:pPr>
        <w:pStyle w:val="Heading3"/>
      </w:pPr>
      <w:bookmarkStart w:id="147" w:name="_Toc29998558"/>
      <w:r>
        <w:t>5.1.</w:t>
      </w:r>
      <w:r w:rsidR="004E5EA4">
        <w:t>4</w:t>
      </w:r>
      <w:r>
        <w:tab/>
        <w:t>Section 18 (2) considerations</w:t>
      </w:r>
      <w:bookmarkEnd w:id="147"/>
    </w:p>
    <w:p w14:paraId="133A6D32" w14:textId="1AD70DE8" w:rsidR="000F0B6A" w:rsidRPr="004E5EA4" w:rsidRDefault="00443C43" w:rsidP="004E5EA4">
      <w:pPr>
        <w:pStyle w:val="ListParagraph"/>
        <w:numPr>
          <w:ilvl w:val="0"/>
          <w:numId w:val="26"/>
        </w:numPr>
        <w:rPr>
          <w:rFonts w:cs="Arial"/>
          <w:b/>
        </w:rPr>
      </w:pPr>
      <w:r w:rsidRPr="004E5EA4">
        <w:rPr>
          <w:b/>
        </w:rPr>
        <w:t xml:space="preserve">the </w:t>
      </w:r>
      <w:r w:rsidR="00E46189" w:rsidRPr="004E5EA4">
        <w:rPr>
          <w:b/>
        </w:rPr>
        <w:t>need for standards to be based on risk analysis using the bes</w:t>
      </w:r>
      <w:r w:rsidR="007057C3" w:rsidRPr="004E5EA4">
        <w:rPr>
          <w:b/>
        </w:rPr>
        <w:t xml:space="preserve">t available </w:t>
      </w:r>
      <w:r w:rsidR="007057C3" w:rsidRPr="004E5EA4">
        <w:rPr>
          <w:rFonts w:cs="Arial"/>
          <w:b/>
        </w:rPr>
        <w:t>scientific evidence</w:t>
      </w:r>
    </w:p>
    <w:p w14:paraId="417969CD" w14:textId="77777777" w:rsidR="00443C43" w:rsidRDefault="00443C43" w:rsidP="00443C43">
      <w:pPr>
        <w:rPr>
          <w:rFonts w:cs="Arial"/>
        </w:rPr>
      </w:pPr>
    </w:p>
    <w:p w14:paraId="57842CDD" w14:textId="1E038250" w:rsidR="00E70BB1" w:rsidRDefault="00CD6075" w:rsidP="00443C43">
      <w:pPr>
        <w:rPr>
          <w:rFonts w:cs="Arial"/>
        </w:rPr>
      </w:pPr>
      <w:r>
        <w:rPr>
          <w:rFonts w:cs="Arial"/>
        </w:rPr>
        <w:t xml:space="preserve">FSANZ’s risk analysis considered the best scientific information currently available to FSANZ. FSANZ had regard to assessments undertaken for the purposes of P1015 and updated data on Australian and international foodborne illness outbreaks associated with fresh horticultural produce (see section 3.1), as well as related recall data. Further information and data is sought from stakeholders through this CFS to further inform that assessment and our decision making. </w:t>
      </w:r>
    </w:p>
    <w:p w14:paraId="6116200A" w14:textId="77777777" w:rsidR="00E70BB1" w:rsidRDefault="00E70BB1" w:rsidP="00443C43">
      <w:pPr>
        <w:rPr>
          <w:rFonts w:cs="Arial"/>
        </w:rPr>
      </w:pPr>
    </w:p>
    <w:p w14:paraId="644D5BA7" w14:textId="23C1E90B" w:rsidR="000F0B6A" w:rsidRPr="00443C43" w:rsidRDefault="000F0B6A" w:rsidP="00443C43">
      <w:pPr>
        <w:rPr>
          <w:rFonts w:cs="Arial"/>
        </w:rPr>
      </w:pPr>
      <w:r w:rsidRPr="00443C43">
        <w:rPr>
          <w:rFonts w:cs="Arial"/>
        </w:rPr>
        <w:t xml:space="preserve">We will build upon these findings to inform </w:t>
      </w:r>
      <w:r w:rsidR="00E70BB1">
        <w:rPr>
          <w:rFonts w:cs="Arial"/>
        </w:rPr>
        <w:t xml:space="preserve">our decisions on </w:t>
      </w:r>
      <w:r w:rsidRPr="00443C43">
        <w:rPr>
          <w:rFonts w:cs="Arial"/>
        </w:rPr>
        <w:t>appropriate and effective risk mitigation in the next stage of this work.</w:t>
      </w:r>
      <w:r w:rsidR="00443C43" w:rsidRPr="00443C43">
        <w:rPr>
          <w:rFonts w:cs="Arial"/>
        </w:rPr>
        <w:t xml:space="preserve"> Information in the Codex CoHP FFV will also be drawn upon to develop appropriate risk management measures.</w:t>
      </w:r>
    </w:p>
    <w:p w14:paraId="72DA8523" w14:textId="77777777" w:rsidR="00443C43" w:rsidRPr="00443C43" w:rsidRDefault="00443C43" w:rsidP="00443C43"/>
    <w:p w14:paraId="7955DB03" w14:textId="1D7AA3A0" w:rsidR="00E46189" w:rsidRPr="00443C43" w:rsidRDefault="00443C43" w:rsidP="004E5EA4">
      <w:pPr>
        <w:pStyle w:val="ListParagraph"/>
        <w:numPr>
          <w:ilvl w:val="0"/>
          <w:numId w:val="26"/>
        </w:numPr>
        <w:rPr>
          <w:rFonts w:cs="Arial"/>
          <w:b/>
        </w:rPr>
      </w:pPr>
      <w:r>
        <w:rPr>
          <w:rFonts w:cs="Arial"/>
          <w:b/>
        </w:rPr>
        <w:t xml:space="preserve">the </w:t>
      </w:r>
      <w:r w:rsidR="00E46189" w:rsidRPr="00443C43">
        <w:rPr>
          <w:rFonts w:cs="Arial"/>
          <w:b/>
        </w:rPr>
        <w:t>promotion of consistency between domestic a</w:t>
      </w:r>
      <w:r w:rsidR="007057C3" w:rsidRPr="00443C43">
        <w:rPr>
          <w:rFonts w:cs="Arial"/>
          <w:b/>
        </w:rPr>
        <w:t>nd international food standards</w:t>
      </w:r>
    </w:p>
    <w:p w14:paraId="4065AAB2" w14:textId="77777777" w:rsidR="00443C43" w:rsidRDefault="00443C43" w:rsidP="00443C43"/>
    <w:p w14:paraId="6FE384D6" w14:textId="7A92D83A" w:rsidR="000F0B6A" w:rsidRDefault="00443C43" w:rsidP="00443C43">
      <w:r>
        <w:t>Internationally, there is considerable variation in the legislation applicable to the production of horticultural produce. We have considered international and domestic standards, including requirements for import and export of food in our assessment.</w:t>
      </w:r>
    </w:p>
    <w:p w14:paraId="64472B50" w14:textId="77777777" w:rsidR="000F0B6A" w:rsidRPr="000F0B6A" w:rsidRDefault="000F0B6A" w:rsidP="00443C43"/>
    <w:p w14:paraId="6DC00237" w14:textId="664DE582" w:rsidR="00E46189" w:rsidRPr="00443C43" w:rsidRDefault="00443C43" w:rsidP="004E5EA4">
      <w:pPr>
        <w:pStyle w:val="ListParagraph"/>
        <w:numPr>
          <w:ilvl w:val="0"/>
          <w:numId w:val="26"/>
        </w:numPr>
        <w:rPr>
          <w:rFonts w:cs="Arial"/>
          <w:b/>
        </w:rPr>
      </w:pPr>
      <w:r>
        <w:rPr>
          <w:rFonts w:cs="Arial"/>
          <w:b/>
        </w:rPr>
        <w:t xml:space="preserve">the </w:t>
      </w:r>
      <w:r w:rsidR="00E46189" w:rsidRPr="00443C43">
        <w:rPr>
          <w:rFonts w:cs="Arial"/>
          <w:b/>
        </w:rPr>
        <w:t>desirability of an efficient and internationally c</w:t>
      </w:r>
      <w:r w:rsidR="007057C3" w:rsidRPr="00443C43">
        <w:rPr>
          <w:rFonts w:cs="Arial"/>
          <w:b/>
        </w:rPr>
        <w:t>ompetitive food industry</w:t>
      </w:r>
    </w:p>
    <w:p w14:paraId="7379C43A" w14:textId="77777777" w:rsidR="00443C43" w:rsidRDefault="00443C43" w:rsidP="00443C43"/>
    <w:p w14:paraId="0555ABD0" w14:textId="36326EE5" w:rsidR="00B46B0B" w:rsidRDefault="00BC6122" w:rsidP="00B46B0B">
      <w:pPr>
        <w:tabs>
          <w:tab w:val="left" w:pos="1560"/>
        </w:tabs>
      </w:pPr>
      <w:r>
        <w:t xml:space="preserve">FSANZ has had regard to the public health and safety risks associated with high-risk horticulture and the impacts these can have on the domestic and international </w:t>
      </w:r>
      <w:r w:rsidR="00B46B0B">
        <w:t xml:space="preserve">food </w:t>
      </w:r>
      <w:r>
        <w:t xml:space="preserve">industry. </w:t>
      </w:r>
    </w:p>
    <w:p w14:paraId="2BDD67A5" w14:textId="77777777" w:rsidR="00B46B0B" w:rsidRDefault="00B46B0B" w:rsidP="00B46B0B">
      <w:pPr>
        <w:tabs>
          <w:tab w:val="left" w:pos="1560"/>
        </w:tabs>
        <w:rPr>
          <w:lang w:bidi="ar-SA"/>
        </w:rPr>
      </w:pPr>
    </w:p>
    <w:p w14:paraId="29D256B8" w14:textId="663210BA" w:rsidR="00B46B0B" w:rsidRDefault="00B46B0B" w:rsidP="00B46B0B">
      <w:pPr>
        <w:tabs>
          <w:tab w:val="left" w:pos="1560"/>
        </w:tabs>
        <w:rPr>
          <w:lang w:bidi="ar-SA"/>
        </w:rPr>
      </w:pPr>
      <w:r>
        <w:rPr>
          <w:lang w:bidi="ar-SA"/>
        </w:rPr>
        <w:t xml:space="preserve">FSANZ does not anticipate any significant impact on efficiency and international competition from introduction of any proposed regulatory measure. </w:t>
      </w:r>
      <w:r w:rsidRPr="0078579E">
        <w:rPr>
          <w:rFonts w:cs="Arial"/>
        </w:rPr>
        <w:t xml:space="preserve">This issue will be fully considered at the next stage of the assessment and, if necessary, notification will be made in accordance </w:t>
      </w:r>
      <w:r w:rsidRPr="0078579E">
        <w:rPr>
          <w:rFonts w:cs="Arial"/>
        </w:rPr>
        <w:lastRenderedPageBreak/>
        <w:t xml:space="preserve">with Australia’s and New Zealand’s obligations under either the WTO Technical Barriers to Trade or Application of Sanitary and Phytosanitary Measures Agreements. </w:t>
      </w:r>
    </w:p>
    <w:p w14:paraId="07F5A8BA" w14:textId="5A209BC2" w:rsidR="000F0B6A" w:rsidRPr="000F0B6A" w:rsidRDefault="000F0B6A" w:rsidP="00443C43"/>
    <w:p w14:paraId="7A21E932" w14:textId="00D0FC8E" w:rsidR="00E46189" w:rsidRPr="00443C43" w:rsidRDefault="00443C43" w:rsidP="004E5EA4">
      <w:pPr>
        <w:pStyle w:val="ListParagraph"/>
        <w:numPr>
          <w:ilvl w:val="0"/>
          <w:numId w:val="26"/>
        </w:numPr>
        <w:rPr>
          <w:rFonts w:cs="Arial"/>
          <w:b/>
        </w:rPr>
      </w:pPr>
      <w:r>
        <w:rPr>
          <w:rFonts w:cs="Arial"/>
          <w:b/>
        </w:rPr>
        <w:t xml:space="preserve">the </w:t>
      </w:r>
      <w:r w:rsidR="00E46189" w:rsidRPr="00443C43">
        <w:rPr>
          <w:rFonts w:cs="Arial"/>
          <w:b/>
        </w:rPr>
        <w:t>pr</w:t>
      </w:r>
      <w:r w:rsidR="007057C3" w:rsidRPr="00443C43">
        <w:rPr>
          <w:rFonts w:cs="Arial"/>
          <w:b/>
        </w:rPr>
        <w:t>omotion of fair trading in food</w:t>
      </w:r>
    </w:p>
    <w:p w14:paraId="47D58682" w14:textId="77777777" w:rsidR="00443C43" w:rsidRDefault="00443C43" w:rsidP="00443C43"/>
    <w:p w14:paraId="2CD96482" w14:textId="07871516" w:rsidR="000F0B6A" w:rsidRDefault="00443C43" w:rsidP="00443C43">
      <w:r>
        <w:t xml:space="preserve">Introduction of nationally consistent food safety requirements </w:t>
      </w:r>
      <w:r w:rsidR="00CD6075">
        <w:t>can encourage a more</w:t>
      </w:r>
      <w:r w:rsidR="000F0B6A">
        <w:t xml:space="preserve"> level playing field for all producers in the market place.</w:t>
      </w:r>
    </w:p>
    <w:p w14:paraId="76289AEA" w14:textId="77777777" w:rsidR="000F0B6A" w:rsidRPr="000F0B6A" w:rsidRDefault="000F0B6A" w:rsidP="00443C43"/>
    <w:p w14:paraId="01FC0EB1" w14:textId="46ADDE2F" w:rsidR="00E46189" w:rsidRPr="00443C43" w:rsidRDefault="00443C43" w:rsidP="00201D1F">
      <w:pPr>
        <w:pStyle w:val="ListParagraph"/>
        <w:keepNext/>
        <w:keepLines/>
        <w:numPr>
          <w:ilvl w:val="0"/>
          <w:numId w:val="24"/>
        </w:numPr>
        <w:rPr>
          <w:rFonts w:cs="Arial"/>
          <w:b/>
        </w:rPr>
      </w:pPr>
      <w:r>
        <w:rPr>
          <w:rFonts w:cs="Arial"/>
          <w:b/>
        </w:rPr>
        <w:t xml:space="preserve">any </w:t>
      </w:r>
      <w:r w:rsidR="007057C3" w:rsidRPr="00443C43">
        <w:rPr>
          <w:rFonts w:cs="Arial"/>
          <w:b/>
        </w:rPr>
        <w:t xml:space="preserve">ministerial </w:t>
      </w:r>
      <w:r w:rsidR="00E46189" w:rsidRPr="00443C43">
        <w:rPr>
          <w:rFonts w:cs="Arial"/>
          <w:b/>
        </w:rPr>
        <w:t>policy guidelines.</w:t>
      </w:r>
    </w:p>
    <w:p w14:paraId="7EBBE49B" w14:textId="77777777" w:rsidR="006B0B56" w:rsidRDefault="006B0B56" w:rsidP="00201D1F">
      <w:pPr>
        <w:keepNext/>
        <w:keepLines/>
      </w:pPr>
    </w:p>
    <w:p w14:paraId="02C1B84B" w14:textId="1BF3F9FB" w:rsidR="00C45E62" w:rsidRDefault="000F0B6A" w:rsidP="00201D1F">
      <w:pPr>
        <w:keepNext/>
        <w:keepLines/>
      </w:pPr>
      <w:r>
        <w:t>T</w:t>
      </w:r>
      <w:r w:rsidR="00C45E62">
        <w:t>he Ministerial Council Overarching Policy Guideline on Primary Production and Processing</w:t>
      </w:r>
      <w:r w:rsidR="00491043">
        <w:t xml:space="preserve"> </w:t>
      </w:r>
      <w:r w:rsidR="00C45E62">
        <w:t>Standards</w:t>
      </w:r>
      <w:r w:rsidR="00E13358">
        <w:rPr>
          <w:rStyle w:val="FootnoteReference"/>
        </w:rPr>
        <w:footnoteReference w:id="16"/>
      </w:r>
      <w:r w:rsidR="007057C3">
        <w:t xml:space="preserve"> </w:t>
      </w:r>
      <w:r w:rsidR="00491043">
        <w:t>contains</w:t>
      </w:r>
      <w:r w:rsidR="007057C3">
        <w:t xml:space="preserve"> high-</w:t>
      </w:r>
      <w:r w:rsidR="00C45E62">
        <w:t>order principles that must be considered whe</w:t>
      </w:r>
      <w:r w:rsidR="007057C3">
        <w:t>n</w:t>
      </w:r>
      <w:r w:rsidR="00C45E62">
        <w:t xml:space="preserve"> a</w:t>
      </w:r>
      <w:r w:rsidR="00491043">
        <w:t xml:space="preserve"> </w:t>
      </w:r>
      <w:r w:rsidR="00C45E62">
        <w:t>standard is developed. These principles state that standards will be outcomes-based</w:t>
      </w:r>
      <w:r w:rsidR="007057C3">
        <w:t xml:space="preserve"> and</w:t>
      </w:r>
      <w:r w:rsidR="00491043">
        <w:t xml:space="preserve"> </w:t>
      </w:r>
      <w:r w:rsidR="00C45E62">
        <w:t>address food safety across the entire food chain where appropriate</w:t>
      </w:r>
      <w:r w:rsidR="007057C3">
        <w:t xml:space="preserve">. </w:t>
      </w:r>
      <w:r w:rsidR="00B50773">
        <w:t>Standards</w:t>
      </w:r>
      <w:r w:rsidR="007057C3">
        <w:t xml:space="preserve"> </w:t>
      </w:r>
      <w:r w:rsidR="007C1BA7">
        <w:t>will</w:t>
      </w:r>
      <w:r w:rsidR="007057C3">
        <w:t xml:space="preserve"> </w:t>
      </w:r>
      <w:r w:rsidR="00B50773">
        <w:t xml:space="preserve">also </w:t>
      </w:r>
      <w:r w:rsidR="00C45E62">
        <w:t>ensure the cost of the</w:t>
      </w:r>
      <w:r w:rsidR="007057C3">
        <w:t xml:space="preserve"> </w:t>
      </w:r>
      <w:r w:rsidR="00C45E62">
        <w:t xml:space="preserve">overall system </w:t>
      </w:r>
      <w:r w:rsidR="007057C3">
        <w:t>is</w:t>
      </w:r>
      <w:r w:rsidR="00C45E62">
        <w:t xml:space="preserve"> </w:t>
      </w:r>
      <w:r w:rsidR="0084615D">
        <w:t>proportionate</w:t>
      </w:r>
      <w:r w:rsidR="00C45E62">
        <w:t xml:space="preserve"> with the assessed level of risk</w:t>
      </w:r>
      <w:r w:rsidR="007057C3">
        <w:t xml:space="preserve">. They </w:t>
      </w:r>
      <w:r w:rsidR="007C1BA7">
        <w:t>will</w:t>
      </w:r>
      <w:r w:rsidR="00C45E62">
        <w:t xml:space="preserve"> provide a</w:t>
      </w:r>
      <w:r w:rsidR="007057C3">
        <w:t xml:space="preserve"> </w:t>
      </w:r>
      <w:r w:rsidR="00C45E62">
        <w:t>regulatory framework that only applies to the extent justified by market failure.</w:t>
      </w:r>
      <w:r w:rsidR="008009AD">
        <w:t xml:space="preserve"> We have considered these guidelines in our assessment.</w:t>
      </w:r>
    </w:p>
    <w:p w14:paraId="04086C7E" w14:textId="27624FA9" w:rsidR="003753CE" w:rsidRDefault="00CC1227" w:rsidP="00CC1227">
      <w:pPr>
        <w:pStyle w:val="Heading2"/>
      </w:pPr>
      <w:bookmarkStart w:id="148" w:name="_Toc17361878"/>
      <w:bookmarkStart w:id="149" w:name="_Toc27667551"/>
      <w:bookmarkStart w:id="150" w:name="_Toc28953773"/>
      <w:bookmarkStart w:id="151" w:name="_Toc29288669"/>
      <w:bookmarkStart w:id="152" w:name="_Toc29998559"/>
      <w:r>
        <w:t>5.2</w:t>
      </w:r>
      <w:r w:rsidR="003753CE">
        <w:tab/>
      </w:r>
      <w:bookmarkEnd w:id="148"/>
      <w:bookmarkEnd w:id="149"/>
      <w:r>
        <w:t>Section 59</w:t>
      </w:r>
      <w:bookmarkEnd w:id="150"/>
      <w:bookmarkEnd w:id="151"/>
      <w:bookmarkEnd w:id="152"/>
    </w:p>
    <w:p w14:paraId="60236DBA" w14:textId="21C5531D" w:rsidR="00E46189" w:rsidRDefault="007C1BA7" w:rsidP="00E46189">
      <w:r>
        <w:t>Under</w:t>
      </w:r>
      <w:r w:rsidRPr="00AC31FD">
        <w:t xml:space="preserve"> section 59 </w:t>
      </w:r>
      <w:r w:rsidR="006E50BC">
        <w:t xml:space="preserve">(Assessing a proposal) </w:t>
      </w:r>
      <w:r w:rsidRPr="00AC31FD">
        <w:t>of the FSANZ Act</w:t>
      </w:r>
      <w:r>
        <w:t>,</w:t>
      </w:r>
      <w:r w:rsidRPr="00AC31FD">
        <w:t xml:space="preserve"> </w:t>
      </w:r>
      <w:r w:rsidR="00607903">
        <w:t>we</w:t>
      </w:r>
      <w:r w:rsidR="00E46189" w:rsidRPr="00AC31FD">
        <w:t xml:space="preserve"> </w:t>
      </w:r>
      <w:r>
        <w:t>must</w:t>
      </w:r>
      <w:r w:rsidR="00E46189" w:rsidRPr="00AC31FD">
        <w:t xml:space="preserve"> have regard </w:t>
      </w:r>
      <w:r w:rsidR="006E50BC">
        <w:t>to</w:t>
      </w:r>
      <w:r w:rsidR="00E46189" w:rsidRPr="00AC31FD">
        <w:t>:</w:t>
      </w:r>
    </w:p>
    <w:p w14:paraId="01296BD6" w14:textId="77777777" w:rsidR="008102D1" w:rsidRDefault="008102D1" w:rsidP="008102D1"/>
    <w:p w14:paraId="754D6C8B" w14:textId="5C7149CF" w:rsidR="004E5EA4" w:rsidRPr="008102D1" w:rsidRDefault="004E5EA4" w:rsidP="008102D1">
      <w:pPr>
        <w:pStyle w:val="ListParagraph"/>
        <w:numPr>
          <w:ilvl w:val="0"/>
          <w:numId w:val="24"/>
        </w:numPr>
        <w:rPr>
          <w:b/>
        </w:rPr>
      </w:pPr>
      <w:r w:rsidRPr="008102D1">
        <w:rPr>
          <w:b/>
        </w:rPr>
        <w:t xml:space="preserve">whether costs that would arise from a food regulatory measure developed or varied as a result of the proposal outweigh the direct and indirect benefits to the community, government or industry that would arise from the development or variation of the food regulatory measure </w:t>
      </w:r>
    </w:p>
    <w:p w14:paraId="2FC26A6B" w14:textId="77777777" w:rsidR="008102D1" w:rsidRPr="008102D1" w:rsidRDefault="008102D1" w:rsidP="008102D1"/>
    <w:p w14:paraId="4414AD07" w14:textId="6A78E8B8" w:rsidR="00155CF1" w:rsidRDefault="00155CF1" w:rsidP="00155CF1">
      <w:r>
        <w:t>FSANZ ha</w:t>
      </w:r>
      <w:r w:rsidR="00022874">
        <w:t xml:space="preserve">s had </w:t>
      </w:r>
      <w:r>
        <w:t xml:space="preserve">regard to the possible costs and benefits identified with developing a regulatory measure for </w:t>
      </w:r>
      <w:r w:rsidR="00022874">
        <w:t xml:space="preserve">high-risk </w:t>
      </w:r>
      <w:r>
        <w:t>horticulture</w:t>
      </w:r>
      <w:r w:rsidR="00022874">
        <w:t xml:space="preserve">. FSANZ had regard to the cost benefit analysis for </w:t>
      </w:r>
      <w:r>
        <w:t xml:space="preserve">P1015 and </w:t>
      </w:r>
      <w:r w:rsidR="00022874">
        <w:t xml:space="preserve">preliminary information </w:t>
      </w:r>
      <w:r>
        <w:t>summarised in this CFS</w:t>
      </w:r>
      <w:r w:rsidR="000E019B">
        <w:t xml:space="preserve">. </w:t>
      </w:r>
    </w:p>
    <w:p w14:paraId="20B5C68C" w14:textId="77777777" w:rsidR="00155CF1" w:rsidRDefault="00155CF1" w:rsidP="00155CF1"/>
    <w:p w14:paraId="3FC5C344" w14:textId="3DB0FF16" w:rsidR="00B9277D" w:rsidRPr="00FB76F8" w:rsidRDefault="00B9277D" w:rsidP="00B9277D">
      <w:r>
        <w:t xml:space="preserve">For the purposes of P1015, FSANZ considered the costs and benefits of developing a horticulture standard to producers, consumers and governments (discussed in section 2.3.1.1 and Table 3 of the P1015 Abandonment Report). This included the potentially disproportional impact of costs associated with implementing regulatory measures to smaller producers, </w:t>
      </w:r>
      <w:r w:rsidR="002615E5">
        <w:lastRenderedPageBreak/>
        <w:t>and/</w:t>
      </w:r>
      <w:r>
        <w:t xml:space="preserve">or the impact </w:t>
      </w:r>
      <w:r w:rsidR="00DC6E47">
        <w:t>of</w:t>
      </w:r>
      <w:r>
        <w:t xml:space="preserve"> those producers operating without an industry food safety scheme. At the time, it was estimated</w:t>
      </w:r>
      <w:r w:rsidR="00D22B46">
        <w:t xml:space="preserve"> 70-80% of produce was grown under an industry scheme that contained requirements to manage food safety risks. </w:t>
      </w:r>
      <w:r w:rsidR="00022874">
        <w:t>For the purposes of P1015</w:t>
      </w:r>
      <w:r w:rsidR="00401E62">
        <w:t xml:space="preserve">, </w:t>
      </w:r>
      <w:r>
        <w:t xml:space="preserve">FSANZ determined that </w:t>
      </w:r>
      <w:r w:rsidRPr="00FB76F8">
        <w:t xml:space="preserve">other measures </w:t>
      </w:r>
      <w:r>
        <w:t xml:space="preserve">were available </w:t>
      </w:r>
      <w:r w:rsidRPr="00FB76F8">
        <w:t xml:space="preserve">that would be more cost-effective than </w:t>
      </w:r>
      <w:r w:rsidR="00401E62">
        <w:t xml:space="preserve">developing a </w:t>
      </w:r>
      <w:r w:rsidRPr="00FB76F8">
        <w:t>food regulatory m</w:t>
      </w:r>
      <w:r>
        <w:t>easure.</w:t>
      </w:r>
    </w:p>
    <w:p w14:paraId="376E25BF" w14:textId="77777777" w:rsidR="007A6476" w:rsidRDefault="007A6476" w:rsidP="00155CF1"/>
    <w:p w14:paraId="3958091D" w14:textId="2C33A636" w:rsidR="004746DC" w:rsidRDefault="00D22B46" w:rsidP="00155CF1">
      <w:pPr>
        <w:rPr>
          <w:lang w:val="en-AU"/>
        </w:rPr>
      </w:pPr>
      <w:r>
        <w:t>Between 2011 and 2019</w:t>
      </w:r>
      <w:r w:rsidR="002615E5">
        <w:t>,</w:t>
      </w:r>
      <w:r>
        <w:t xml:space="preserve"> there were several significant foodborne illness outbreaks in Australia associated with fresh horticultural produce involving over 408 cases of illness and 9 deaths. </w:t>
      </w:r>
      <w:r w:rsidR="004746DC">
        <w:t xml:space="preserve">The impact of </w:t>
      </w:r>
      <w:r w:rsidR="00401E62">
        <w:t>outbreaks</w:t>
      </w:r>
      <w:r w:rsidR="00155CF1">
        <w:t xml:space="preserve"> can be</w:t>
      </w:r>
      <w:r w:rsidR="004746DC">
        <w:t xml:space="preserve"> significant both in terms of health (illness and/or death)</w:t>
      </w:r>
      <w:r w:rsidR="00155CF1">
        <w:t>, costs to the specific food business involved, related food businesses and whole industries.</w:t>
      </w:r>
      <w:r w:rsidR="004746DC">
        <w:t xml:space="preserve"> For example, the 2018 outbreak of </w:t>
      </w:r>
      <w:r w:rsidR="004746DC" w:rsidRPr="005150BD">
        <w:rPr>
          <w:i/>
        </w:rPr>
        <w:t>Listeria</w:t>
      </w:r>
      <w:r w:rsidR="004746DC">
        <w:t xml:space="preserve"> associated with rockmelons resulted in 22 cases of illness, 8 deaths, temporarily closed an export market and impacted the domestic market with losses to growers estimated to be around $15 million. </w:t>
      </w:r>
      <w:r w:rsidR="00E442DA">
        <w:t xml:space="preserve">This suggests that an alternative conclusion </w:t>
      </w:r>
      <w:r w:rsidR="002615E5">
        <w:t>(to th</w:t>
      </w:r>
      <w:r w:rsidR="00094176">
        <w:t>at of P1015</w:t>
      </w:r>
      <w:r w:rsidR="002615E5">
        <w:t xml:space="preserve">) </w:t>
      </w:r>
      <w:r w:rsidR="00E442DA">
        <w:t xml:space="preserve">may now be able to be drawn given the more targeted scope and </w:t>
      </w:r>
      <w:r w:rsidR="00C10D01">
        <w:t>extended history of incidents</w:t>
      </w:r>
      <w:r w:rsidR="00E442DA">
        <w:t>.</w:t>
      </w:r>
    </w:p>
    <w:p w14:paraId="016275F5" w14:textId="77777777" w:rsidR="004746DC" w:rsidRDefault="004746DC" w:rsidP="004746DC"/>
    <w:p w14:paraId="3953DD78" w14:textId="40A1B2F2" w:rsidR="004746DC" w:rsidRDefault="004746DC" w:rsidP="004746DC">
      <w:r w:rsidRPr="00722953">
        <w:rPr>
          <w:szCs w:val="22"/>
        </w:rPr>
        <w:t>Lost productivity, impacts on lifestyle</w:t>
      </w:r>
      <w:r w:rsidR="001C3571">
        <w:rPr>
          <w:szCs w:val="22"/>
        </w:rPr>
        <w:t xml:space="preserve"> including pain and suffering </w:t>
      </w:r>
      <w:r w:rsidRPr="00722953">
        <w:rPr>
          <w:szCs w:val="22"/>
        </w:rPr>
        <w:t xml:space="preserve">and medical expenses from foodborne illness can </w:t>
      </w:r>
      <w:r>
        <w:rPr>
          <w:szCs w:val="22"/>
        </w:rPr>
        <w:t xml:space="preserve">also </w:t>
      </w:r>
      <w:r w:rsidRPr="00722953">
        <w:rPr>
          <w:szCs w:val="22"/>
        </w:rPr>
        <w:t xml:space="preserve">result in a substantial burden for Australia. </w:t>
      </w:r>
      <w:r>
        <w:t>At a population level, c</w:t>
      </w:r>
      <w:r>
        <w:rPr>
          <w:szCs w:val="22"/>
        </w:rPr>
        <w:t xml:space="preserve">osts associated with foodborne illness are estimated at $1.2 billion each year </w:t>
      </w:r>
      <w:r>
        <w:rPr>
          <w:szCs w:val="22"/>
        </w:rPr>
        <w:fldChar w:fldCharType="begin"/>
      </w:r>
      <w:r>
        <w:rPr>
          <w:szCs w:val="22"/>
        </w:rPr>
        <w:instrText>ADDIN CITAVI.PLACEHOLDER 6212e701-e8f1-465e-ba44-5ea26f527ea6 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JlbHNvbiBldCBhbC4gMjAwNik8L1RleHQ+DQogICAgPC9UZXh0VW5pdD4NCiAgPC9UZXh0VW5pdHM+DQo8L1BsYWNlaG9sZGVyPg==</w:instrText>
      </w:r>
      <w:r>
        <w:rPr>
          <w:szCs w:val="22"/>
        </w:rPr>
        <w:fldChar w:fldCharType="separate"/>
      </w:r>
      <w:r>
        <w:rPr>
          <w:szCs w:val="22"/>
        </w:rPr>
        <w:t>(Abelson et al. 2006)</w:t>
      </w:r>
      <w:r>
        <w:rPr>
          <w:szCs w:val="22"/>
        </w:rPr>
        <w:fldChar w:fldCharType="end"/>
      </w:r>
      <w:r>
        <w:rPr>
          <w:szCs w:val="22"/>
        </w:rPr>
        <w:t>.</w:t>
      </w:r>
    </w:p>
    <w:p w14:paraId="6164178A" w14:textId="77777777" w:rsidR="004746DC" w:rsidRDefault="004746DC" w:rsidP="004746DC"/>
    <w:p w14:paraId="57E7F15B" w14:textId="1146DF32" w:rsidR="004746DC" w:rsidRDefault="00155CF1" w:rsidP="004746DC">
      <w:pPr>
        <w:rPr>
          <w:rFonts w:cs="Arial"/>
        </w:rPr>
      </w:pPr>
      <w:r>
        <w:t>Horticultural produce account</w:t>
      </w:r>
      <w:r w:rsidR="00401E62">
        <w:t>ed</w:t>
      </w:r>
      <w:r>
        <w:t xml:space="preserve"> for </w:t>
      </w:r>
      <w:r w:rsidR="004746DC">
        <w:t>9% of all recorded recalls (1989-2019).</w:t>
      </w:r>
      <w:r w:rsidR="004746DC">
        <w:rPr>
          <w:lang w:val="en-AU"/>
        </w:rPr>
        <w:t xml:space="preserve"> During 2016-2018, horticultur</w:t>
      </w:r>
      <w:r w:rsidR="002615E5">
        <w:rPr>
          <w:lang w:val="en-AU"/>
        </w:rPr>
        <w:t>al</w:t>
      </w:r>
      <w:r w:rsidR="004746DC">
        <w:rPr>
          <w:lang w:val="en-AU"/>
        </w:rPr>
        <w:t xml:space="preserve"> products were the only products implicated in national food incidents (n=5), and nine recalls were coordinated </w:t>
      </w:r>
      <w:r w:rsidR="00401E62">
        <w:rPr>
          <w:lang w:val="en-AU"/>
        </w:rPr>
        <w:t>as part of</w:t>
      </w:r>
      <w:r w:rsidR="004746DC">
        <w:rPr>
          <w:lang w:val="en-AU"/>
        </w:rPr>
        <w:t xml:space="preserve"> multi-jurisdictional outbreaks. </w:t>
      </w:r>
      <w:r w:rsidR="004746DC">
        <w:rPr>
          <w:rFonts w:cs="Arial"/>
        </w:rPr>
        <w:t>Food recalls can be a considerable cost to a food business. The cost of advertising in newspapers alone can be thousands of dollars</w:t>
      </w:r>
      <w:r w:rsidR="002615E5">
        <w:rPr>
          <w:rFonts w:cs="Arial"/>
        </w:rPr>
        <w:t>.</w:t>
      </w:r>
      <w:r w:rsidR="004746DC">
        <w:rPr>
          <w:rFonts w:cs="Arial"/>
        </w:rPr>
        <w:t xml:space="preserve"> Other costs that a food business may incur include supermarket fees to remove product from sale, advertising costs, product disposal or destruction</w:t>
      </w:r>
      <w:r w:rsidR="002615E5">
        <w:rPr>
          <w:rFonts w:cs="Arial"/>
        </w:rPr>
        <w:t>,</w:t>
      </w:r>
      <w:r w:rsidR="004746DC">
        <w:rPr>
          <w:rFonts w:cs="Arial"/>
        </w:rPr>
        <w:t xml:space="preserve"> and loss in productivity and earnings. Businesses may experience a reputation</w:t>
      </w:r>
      <w:r w:rsidR="00401E62">
        <w:rPr>
          <w:rFonts w:cs="Arial"/>
        </w:rPr>
        <w:t>al</w:t>
      </w:r>
      <w:r w:rsidR="004746DC">
        <w:rPr>
          <w:rFonts w:cs="Arial"/>
        </w:rPr>
        <w:t xml:space="preserve"> loss leading to decreased consumer confidence and sales</w:t>
      </w:r>
      <w:r w:rsidR="001C3571">
        <w:rPr>
          <w:rFonts w:cs="Arial"/>
        </w:rPr>
        <w:t xml:space="preserve"> which can ultimately lead to the failure of not only the business whose product </w:t>
      </w:r>
      <w:r w:rsidR="002615E5">
        <w:rPr>
          <w:rFonts w:cs="Arial"/>
        </w:rPr>
        <w:t>was</w:t>
      </w:r>
      <w:r w:rsidR="001C3571">
        <w:rPr>
          <w:rFonts w:cs="Arial"/>
        </w:rPr>
        <w:t xml:space="preserve"> </w:t>
      </w:r>
      <w:r w:rsidR="00E442DA">
        <w:rPr>
          <w:rFonts w:cs="Arial"/>
        </w:rPr>
        <w:t>im</w:t>
      </w:r>
      <w:r w:rsidR="00C10D01">
        <w:rPr>
          <w:rFonts w:cs="Arial"/>
        </w:rPr>
        <w:t>plicated</w:t>
      </w:r>
      <w:r w:rsidR="00022874">
        <w:rPr>
          <w:rFonts w:cs="Arial"/>
        </w:rPr>
        <w:t>,</w:t>
      </w:r>
      <w:r w:rsidR="00E442DA">
        <w:rPr>
          <w:rFonts w:cs="Arial"/>
        </w:rPr>
        <w:t xml:space="preserve"> but in extreme circumstances</w:t>
      </w:r>
      <w:r w:rsidR="00022874">
        <w:rPr>
          <w:rFonts w:cs="Arial"/>
        </w:rPr>
        <w:t>,</w:t>
      </w:r>
      <w:r w:rsidR="00E442DA">
        <w:rPr>
          <w:rFonts w:cs="Arial"/>
        </w:rPr>
        <w:t xml:space="preserve"> other industry members</w:t>
      </w:r>
      <w:r w:rsidR="002615E5">
        <w:rPr>
          <w:rFonts w:cs="Arial"/>
        </w:rPr>
        <w:t>.</w:t>
      </w:r>
      <w:r w:rsidR="004746DC">
        <w:rPr>
          <w:rFonts w:cs="Arial"/>
        </w:rPr>
        <w:t xml:space="preserve"> </w:t>
      </w:r>
    </w:p>
    <w:p w14:paraId="0AB89A45" w14:textId="5F3FE660" w:rsidR="004746DC" w:rsidRDefault="004746DC" w:rsidP="004746DC">
      <w:pPr>
        <w:rPr>
          <w:rFonts w:cs="Arial"/>
        </w:rPr>
      </w:pPr>
    </w:p>
    <w:p w14:paraId="3052C31F" w14:textId="66F7C939" w:rsidR="004746DC" w:rsidRDefault="00D22B46" w:rsidP="004746DC">
      <w:r>
        <w:t xml:space="preserve">Data on the number, and type, of producers who operate under an industry scheme remains difficult to obtain. </w:t>
      </w:r>
      <w:r w:rsidR="004746DC">
        <w:t>I</w:t>
      </w:r>
      <w:r w:rsidR="004746DC" w:rsidRPr="00000888">
        <w:t xml:space="preserve">nvestigations into some of the more recent outbreaks </w:t>
      </w:r>
      <w:r w:rsidR="004746DC">
        <w:t>show</w:t>
      </w:r>
      <w:r w:rsidR="004746DC" w:rsidRPr="00000888">
        <w:t xml:space="preserve"> </w:t>
      </w:r>
      <w:r w:rsidR="004746DC">
        <w:t xml:space="preserve">businesses had </w:t>
      </w:r>
      <w:r w:rsidR="004746DC" w:rsidRPr="00000888">
        <w:t xml:space="preserve">food safety schemes in place, but </w:t>
      </w:r>
      <w:r>
        <w:t xml:space="preserve">these </w:t>
      </w:r>
      <w:r w:rsidR="004746DC">
        <w:t>had not been</w:t>
      </w:r>
      <w:r w:rsidR="004746DC" w:rsidRPr="00000888">
        <w:t xml:space="preserve"> effective </w:t>
      </w:r>
      <w:r w:rsidR="004746DC">
        <w:t>in</w:t>
      </w:r>
      <w:r w:rsidR="004746DC" w:rsidRPr="004864BB">
        <w:t xml:space="preserve"> avoid</w:t>
      </w:r>
      <w:r w:rsidR="004746DC">
        <w:t xml:space="preserve">ing </w:t>
      </w:r>
      <w:r w:rsidR="004746DC" w:rsidRPr="00000888">
        <w:t xml:space="preserve">an outbreak. This suggests that the </w:t>
      </w:r>
      <w:r w:rsidR="007A6476">
        <w:t>status quo</w:t>
      </w:r>
      <w:r>
        <w:t xml:space="preserve"> (Option 1)</w:t>
      </w:r>
      <w:r w:rsidR="007A6476">
        <w:t xml:space="preserve">, which is based on non-regulatory measures such as industry schemes and codes of practice, </w:t>
      </w:r>
      <w:r w:rsidR="004746DC">
        <w:t>may</w:t>
      </w:r>
      <w:r w:rsidR="004746DC" w:rsidRPr="00000888">
        <w:t xml:space="preserve"> </w:t>
      </w:r>
      <w:r>
        <w:t xml:space="preserve">no longer be </w:t>
      </w:r>
      <w:r w:rsidR="004746DC">
        <w:t xml:space="preserve">sufficient to address food </w:t>
      </w:r>
      <w:r w:rsidR="004746DC">
        <w:lastRenderedPageBreak/>
        <w:t>safety risks and protect public health and safety.</w:t>
      </w:r>
      <w:r w:rsidR="007A6476">
        <w:t xml:space="preserve"> </w:t>
      </w:r>
    </w:p>
    <w:p w14:paraId="3175D85A" w14:textId="77777777" w:rsidR="004746DC" w:rsidRDefault="004746DC" w:rsidP="004746DC">
      <w:pPr>
        <w:rPr>
          <w:rFonts w:cs="Arial"/>
        </w:rPr>
      </w:pPr>
    </w:p>
    <w:p w14:paraId="562C078A" w14:textId="49A1B7F8" w:rsidR="00CC1227" w:rsidRDefault="006071A7" w:rsidP="00CC1227">
      <w:r>
        <w:t xml:space="preserve">Limited data is </w:t>
      </w:r>
      <w:r w:rsidR="008073A7">
        <w:t xml:space="preserve">currently </w:t>
      </w:r>
      <w:r>
        <w:t>available</w:t>
      </w:r>
      <w:r w:rsidR="008073A7">
        <w:t xml:space="preserve"> on which</w:t>
      </w:r>
      <w:r>
        <w:t xml:space="preserve"> </w:t>
      </w:r>
      <w:r w:rsidR="008073A7">
        <w:t>to complete a</w:t>
      </w:r>
      <w:r w:rsidR="00006335">
        <w:t>n informed cost benefit analysis for high-risk horticulture.</w:t>
      </w:r>
      <w:r w:rsidR="008073A7">
        <w:t xml:space="preserve"> </w:t>
      </w:r>
      <w:r w:rsidR="00006335">
        <w:t>F</w:t>
      </w:r>
      <w:r w:rsidR="008073A7">
        <w:t xml:space="preserve">urther information and data is sought to inform our decision on whether to prepare a regulatory measure and, if so, the form that that measure will take. </w:t>
      </w:r>
    </w:p>
    <w:p w14:paraId="3201BBF8" w14:textId="33A8E027" w:rsidR="008102D1" w:rsidRDefault="008102D1" w:rsidP="00CC1227"/>
    <w:p w14:paraId="636266E6" w14:textId="6FB29719" w:rsidR="006071A7" w:rsidRPr="004068F5" w:rsidRDefault="006071A7" w:rsidP="006071A7">
      <w:pPr>
        <w:rPr>
          <w:i/>
        </w:rPr>
      </w:pPr>
      <w:r w:rsidRPr="004068F5">
        <w:rPr>
          <w:i/>
        </w:rPr>
        <w:t xml:space="preserve">Cost–benefit </w:t>
      </w:r>
      <w:r w:rsidR="004068F5" w:rsidRPr="004068F5">
        <w:rPr>
          <w:i/>
        </w:rPr>
        <w:t>information</w:t>
      </w:r>
      <w:r w:rsidRPr="004068F5">
        <w:rPr>
          <w:i/>
        </w:rPr>
        <w:t xml:space="preserve"> </w:t>
      </w:r>
    </w:p>
    <w:p w14:paraId="51127A11" w14:textId="77777777" w:rsidR="006071A7" w:rsidRDefault="006071A7" w:rsidP="006071A7"/>
    <w:p w14:paraId="03815285" w14:textId="75C97590" w:rsidR="006071A7" w:rsidRDefault="006071A7" w:rsidP="006071A7">
      <w:r>
        <w:t>The analysis of the costs and benefits of horticulture regulation is likely to be complex and challenging as there are numerous information gaps. While outbreaks linked to horticultur</w:t>
      </w:r>
      <w:r w:rsidR="00006335">
        <w:t>al</w:t>
      </w:r>
      <w:r>
        <w:t xml:space="preserve"> produce have affected numerous people, the vast majority of produce is safe and healthy. This means determining the most effective interventions that will have a net benefit is potentially difficult and will require careful consideration and design. </w:t>
      </w:r>
    </w:p>
    <w:p w14:paraId="13477C34" w14:textId="77777777" w:rsidR="006071A7" w:rsidRDefault="006071A7" w:rsidP="006071A7"/>
    <w:p w14:paraId="3874A019" w14:textId="77777777" w:rsidR="006071A7" w:rsidRDefault="006071A7" w:rsidP="006071A7">
      <w:r>
        <w:t>The type of information we need for our assessment includes:</w:t>
      </w:r>
    </w:p>
    <w:p w14:paraId="6D2EA450" w14:textId="77777777" w:rsidR="006071A7" w:rsidRPr="00456D08" w:rsidRDefault="006071A7" w:rsidP="006071A7">
      <w:pPr>
        <w:pStyle w:val="ListParagraph"/>
        <w:numPr>
          <w:ilvl w:val="0"/>
          <w:numId w:val="29"/>
        </w:numPr>
        <w:rPr>
          <w:b/>
        </w:rPr>
      </w:pPr>
      <w:r w:rsidRPr="00456D08">
        <w:rPr>
          <w:b/>
        </w:rPr>
        <w:t>from consumers:</w:t>
      </w:r>
    </w:p>
    <w:p w14:paraId="31628AF9" w14:textId="77777777" w:rsidR="006071A7" w:rsidRDefault="006071A7" w:rsidP="006071A7">
      <w:pPr>
        <w:pStyle w:val="ListParagraph"/>
        <w:widowControl/>
        <w:numPr>
          <w:ilvl w:val="1"/>
          <w:numId w:val="29"/>
        </w:numPr>
      </w:pPr>
      <w:r>
        <w:t>potential improvement in wellbeing as a result of safer food (i.e. avoided illness)</w:t>
      </w:r>
    </w:p>
    <w:p w14:paraId="2C7A3A51" w14:textId="77777777" w:rsidR="006071A7" w:rsidRPr="00456D08" w:rsidRDefault="006071A7" w:rsidP="006071A7">
      <w:pPr>
        <w:pStyle w:val="ListParagraph"/>
        <w:numPr>
          <w:ilvl w:val="0"/>
          <w:numId w:val="29"/>
        </w:numPr>
        <w:rPr>
          <w:b/>
        </w:rPr>
      </w:pPr>
      <w:r w:rsidRPr="00456D08">
        <w:rPr>
          <w:b/>
        </w:rPr>
        <w:t>from government:</w:t>
      </w:r>
    </w:p>
    <w:p w14:paraId="681BF051" w14:textId="77777777" w:rsidR="006071A7" w:rsidRDefault="006071A7" w:rsidP="006071A7">
      <w:pPr>
        <w:pStyle w:val="ListParagraph"/>
        <w:widowControl/>
        <w:numPr>
          <w:ilvl w:val="1"/>
          <w:numId w:val="29"/>
        </w:numPr>
      </w:pPr>
      <w:r>
        <w:t>costs to implement and enforce new regulation</w:t>
      </w:r>
    </w:p>
    <w:p w14:paraId="12DF4ACA" w14:textId="77777777" w:rsidR="006071A7" w:rsidRDefault="006071A7" w:rsidP="006071A7">
      <w:pPr>
        <w:pStyle w:val="ListParagraph"/>
        <w:widowControl/>
        <w:numPr>
          <w:ilvl w:val="1"/>
          <w:numId w:val="29"/>
        </w:numPr>
      </w:pPr>
      <w:r>
        <w:t>reduction in government costs as a result of reduced outbreaks, incidents and illness</w:t>
      </w:r>
    </w:p>
    <w:p w14:paraId="1B44E86C" w14:textId="77777777" w:rsidR="006071A7" w:rsidRPr="00456D08" w:rsidRDefault="006071A7" w:rsidP="006071A7">
      <w:pPr>
        <w:pStyle w:val="ListParagraph"/>
        <w:keepNext/>
        <w:keepLines/>
        <w:numPr>
          <w:ilvl w:val="0"/>
          <w:numId w:val="29"/>
        </w:numPr>
        <w:rPr>
          <w:b/>
        </w:rPr>
      </w:pPr>
      <w:r w:rsidRPr="00456D08">
        <w:rPr>
          <w:b/>
        </w:rPr>
        <w:t>from businesses:</w:t>
      </w:r>
    </w:p>
    <w:p w14:paraId="3D954430" w14:textId="77777777" w:rsidR="006071A7" w:rsidRDefault="006071A7" w:rsidP="006071A7">
      <w:pPr>
        <w:pStyle w:val="ListParagraph"/>
        <w:keepNext/>
        <w:keepLines/>
        <w:widowControl/>
        <w:numPr>
          <w:ilvl w:val="1"/>
          <w:numId w:val="29"/>
        </w:numPr>
      </w:pPr>
      <w:r>
        <w:t>increased costs from regulation (some of which may end up being transferred to consumers)</w:t>
      </w:r>
    </w:p>
    <w:p w14:paraId="2265ADD2" w14:textId="77777777" w:rsidR="006071A7" w:rsidRDefault="006071A7" w:rsidP="006071A7">
      <w:pPr>
        <w:pStyle w:val="ListParagraph"/>
        <w:keepNext/>
        <w:keepLines/>
        <w:widowControl/>
        <w:numPr>
          <w:ilvl w:val="1"/>
          <w:numId w:val="29"/>
        </w:numPr>
      </w:pPr>
      <w:r>
        <w:t>reduction in costs as a result of reduced incidents and outbreaks</w:t>
      </w:r>
    </w:p>
    <w:p w14:paraId="31CA1699" w14:textId="77777777" w:rsidR="006071A7" w:rsidRDefault="006071A7" w:rsidP="006071A7">
      <w:pPr>
        <w:pStyle w:val="ListParagraph"/>
        <w:widowControl/>
        <w:numPr>
          <w:ilvl w:val="1"/>
          <w:numId w:val="29"/>
        </w:numPr>
      </w:pPr>
      <w:r>
        <w:t>increased sales opportunities to markets that value safe food.</w:t>
      </w:r>
    </w:p>
    <w:p w14:paraId="30D1C619" w14:textId="77777777" w:rsidR="006071A7" w:rsidRDefault="006071A7" w:rsidP="006071A7">
      <w:pPr>
        <w:pStyle w:val="FSBullet"/>
        <w:ind w:left="0" w:firstLine="0"/>
      </w:pPr>
    </w:p>
    <w:p w14:paraId="7AA970BD" w14:textId="5C1B9051" w:rsidR="006071A7" w:rsidRDefault="006071A7" w:rsidP="006071A7">
      <w:pPr>
        <w:pBdr>
          <w:top w:val="single" w:sz="4" w:space="1" w:color="auto"/>
          <w:left w:val="single" w:sz="4" w:space="4" w:color="auto"/>
          <w:bottom w:val="single" w:sz="4" w:space="1" w:color="auto"/>
          <w:right w:val="single" w:sz="4" w:space="4" w:color="auto"/>
        </w:pBdr>
        <w:shd w:val="clear" w:color="auto" w:fill="F2F2F2" w:themeFill="background1" w:themeFillShade="F2"/>
      </w:pPr>
      <w:r>
        <w:t>FSANZ would welcome in</w:t>
      </w:r>
      <w:r w:rsidR="00C10D01">
        <w:t xml:space="preserve"> views</w:t>
      </w:r>
      <w:r>
        <w:t xml:space="preserve"> in submissions to inform the cost-benefit work including:</w:t>
      </w:r>
    </w:p>
    <w:p w14:paraId="515703B0" w14:textId="77777777" w:rsidR="006071A7" w:rsidRPr="00F46EF3" w:rsidRDefault="006071A7" w:rsidP="006071A7">
      <w:pPr>
        <w:pStyle w:val="ListParagraph"/>
        <w:widowControl/>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pPr>
      <w:r w:rsidRPr="00F46EF3">
        <w:t xml:space="preserve">What sort of interventions should FSANZ consider in its analysis? </w:t>
      </w:r>
    </w:p>
    <w:p w14:paraId="123548B0" w14:textId="77777777" w:rsidR="006071A7" w:rsidRPr="00F46EF3" w:rsidRDefault="006071A7" w:rsidP="006071A7">
      <w:pPr>
        <w:pStyle w:val="ListParagraph"/>
        <w:widowControl/>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pPr>
      <w:r w:rsidRPr="00F46EF3">
        <w:t>Should consideration be given to regulating different sorts of businesses differently?</w:t>
      </w:r>
    </w:p>
    <w:p w14:paraId="213241EF" w14:textId="77777777" w:rsidR="006071A7" w:rsidRPr="00F46EF3" w:rsidRDefault="006071A7" w:rsidP="006071A7">
      <w:pPr>
        <w:pStyle w:val="ListParagraph"/>
        <w:widowControl/>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pPr>
      <w:r w:rsidRPr="00F46EF3">
        <w:t>Should we be aiming to achieve complete through-chain traceability from paddock to plate, or only the capacity to trace one step forward and one step back?</w:t>
      </w:r>
    </w:p>
    <w:p w14:paraId="201837EE" w14:textId="77777777" w:rsidR="006071A7" w:rsidRPr="00F46EF3" w:rsidRDefault="006071A7" w:rsidP="006071A7">
      <w:pPr>
        <w:pStyle w:val="ListParagraph"/>
        <w:widowControl/>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pPr>
      <w:r w:rsidRPr="00F46EF3">
        <w:t>Do you think information technology can reduce the cost of tracing horticultural products through the supply chain? How could it better meet the needs of industry, government and consumers?</w:t>
      </w:r>
    </w:p>
    <w:p w14:paraId="5C267196" w14:textId="0072D485" w:rsidR="006071A7" w:rsidRDefault="006071A7" w:rsidP="006071A7">
      <w:pPr>
        <w:pStyle w:val="ListParagraph"/>
        <w:widowControl/>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pPr>
      <w:r w:rsidRPr="00F46EF3">
        <w:t>What are the benefits of enhanced food safety regulation in terms of protecting or accessing overseas markets?</w:t>
      </w:r>
    </w:p>
    <w:p w14:paraId="504F9F59" w14:textId="6AA70146" w:rsidR="00C10D01" w:rsidRPr="00F46EF3" w:rsidRDefault="00C10D01" w:rsidP="00022874">
      <w:pPr>
        <w:widowControl/>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Where possible</w:t>
      </w:r>
      <w:r w:rsidR="00022874">
        <w:t>,</w:t>
      </w:r>
      <w:r>
        <w:t xml:space="preserve"> quantitative or qualitative evidence should be prov</w:t>
      </w:r>
      <w:r w:rsidR="00022874">
        <w:t>id</w:t>
      </w:r>
      <w:r>
        <w:t>ed to support your point of view.</w:t>
      </w:r>
    </w:p>
    <w:p w14:paraId="53597C9F" w14:textId="460C21F4" w:rsidR="006071A7" w:rsidRDefault="006071A7" w:rsidP="00CC1227"/>
    <w:p w14:paraId="33043332" w14:textId="77777777" w:rsidR="008102D1" w:rsidRPr="008102D1" w:rsidRDefault="008102D1" w:rsidP="008102D1">
      <w:pPr>
        <w:pStyle w:val="ListParagraph"/>
        <w:numPr>
          <w:ilvl w:val="0"/>
          <w:numId w:val="24"/>
        </w:numPr>
        <w:rPr>
          <w:b/>
        </w:rPr>
      </w:pPr>
      <w:r w:rsidRPr="008102D1">
        <w:rPr>
          <w:b/>
        </w:rPr>
        <w:t>whether other measures would be more cost-effective than development of or a variation to a standard and could achieve the same end</w:t>
      </w:r>
    </w:p>
    <w:p w14:paraId="7F4B5E70" w14:textId="77777777" w:rsidR="004E5EA4" w:rsidRDefault="004E5EA4" w:rsidP="00CC1227"/>
    <w:p w14:paraId="5A629CD7" w14:textId="649EA883" w:rsidR="00260862" w:rsidRDefault="00260862" w:rsidP="00CC1227">
      <w:r>
        <w:t>FSANZ’s preliminary view is that regulation may be required (i.e. Option 2) as continued reliance on voluntary industry schemes and other non-regulatory measures such as codes of practice, may not adequately protect consumers and public health and safety.</w:t>
      </w:r>
    </w:p>
    <w:p w14:paraId="61CEEADA" w14:textId="77777777" w:rsidR="00260862" w:rsidRDefault="00260862" w:rsidP="00CC1227"/>
    <w:p w14:paraId="5031124D" w14:textId="54636E30" w:rsidR="00CC1227" w:rsidRDefault="00260862" w:rsidP="00CC1227">
      <w:r>
        <w:t>Further analysis of the c</w:t>
      </w:r>
      <w:r w:rsidR="00CC1227">
        <w:t>osts and benefits of the regulatory options, and whether other measures would be more cost-effective will be considered in a Consultation Regulatory Impact Statement (CRIS) and a Decision Regulatory Impact Statement (DRIS). These statements will be produced in accordance with Council of Australian Governments (COAG) Best Practice Regulation Guidelines. The CRIS will be released for consultation with the second call for submissions on this proposal. The DRIS will be provided to decision makers, then publically released once a decision has been made.</w:t>
      </w:r>
    </w:p>
    <w:p w14:paraId="44496AE9" w14:textId="77777777" w:rsidR="004E5EA4" w:rsidRDefault="004E5EA4" w:rsidP="00CC1227"/>
    <w:p w14:paraId="37045E1B" w14:textId="59881342" w:rsidR="008102D1" w:rsidRDefault="00EA24A8" w:rsidP="008102D1">
      <w:pPr>
        <w:pStyle w:val="ListParagraph"/>
        <w:numPr>
          <w:ilvl w:val="0"/>
          <w:numId w:val="24"/>
        </w:numPr>
        <w:rPr>
          <w:b/>
        </w:rPr>
      </w:pPr>
      <w:r w:rsidRPr="008102D1">
        <w:rPr>
          <w:b/>
        </w:rPr>
        <w:t>a</w:t>
      </w:r>
      <w:r w:rsidR="00E46189" w:rsidRPr="008102D1">
        <w:rPr>
          <w:b/>
        </w:rPr>
        <w:t>ny relevant New Zealan</w:t>
      </w:r>
      <w:r w:rsidR="008102D1">
        <w:rPr>
          <w:b/>
        </w:rPr>
        <w:t>d standards</w:t>
      </w:r>
    </w:p>
    <w:p w14:paraId="6C2B366C" w14:textId="7034AB82" w:rsidR="008102D1" w:rsidRDefault="008102D1" w:rsidP="008102D1">
      <w:pPr>
        <w:rPr>
          <w:szCs w:val="22"/>
        </w:rPr>
      </w:pPr>
    </w:p>
    <w:p w14:paraId="2FA485AD" w14:textId="468E0FAF" w:rsidR="008102D1" w:rsidRDefault="008102D1" w:rsidP="008102D1">
      <w:pPr>
        <w:rPr>
          <w:szCs w:val="22"/>
        </w:rPr>
      </w:pPr>
      <w:r>
        <w:rPr>
          <w:szCs w:val="22"/>
        </w:rPr>
        <w:t xml:space="preserve">Chapter 4 Primary Production and Processing Standards do not apply in New Zealand. No other standards have been identified. </w:t>
      </w:r>
    </w:p>
    <w:p w14:paraId="598CCD54" w14:textId="77777777" w:rsidR="008102D1" w:rsidRPr="008102D1" w:rsidRDefault="008102D1" w:rsidP="008102D1">
      <w:pPr>
        <w:rPr>
          <w:szCs w:val="22"/>
        </w:rPr>
      </w:pPr>
    </w:p>
    <w:p w14:paraId="109F6D99" w14:textId="62D9F59E" w:rsidR="00E46189" w:rsidRPr="008102D1" w:rsidRDefault="00EA24A8" w:rsidP="008102D1">
      <w:pPr>
        <w:pStyle w:val="ListParagraph"/>
        <w:numPr>
          <w:ilvl w:val="0"/>
          <w:numId w:val="24"/>
        </w:numPr>
        <w:rPr>
          <w:b/>
        </w:rPr>
      </w:pPr>
      <w:r w:rsidRPr="008102D1">
        <w:rPr>
          <w:b/>
        </w:rPr>
        <w:t>a</w:t>
      </w:r>
      <w:r w:rsidR="00E46189" w:rsidRPr="008102D1">
        <w:rPr>
          <w:b/>
        </w:rPr>
        <w:t>ny other relevant matters.</w:t>
      </w:r>
    </w:p>
    <w:p w14:paraId="55B4C6C1" w14:textId="7733359B" w:rsidR="006E50BC" w:rsidRDefault="006E50BC" w:rsidP="003753CE"/>
    <w:p w14:paraId="029C7AEA" w14:textId="71D4588A" w:rsidR="008102D1" w:rsidRDefault="008102D1" w:rsidP="003753CE">
      <w:r>
        <w:t xml:space="preserve">FSANZ has assessed the proposal under the </w:t>
      </w:r>
      <w:r w:rsidR="006B4263">
        <w:t>obligations</w:t>
      </w:r>
      <w:r>
        <w:t xml:space="preserve"> listed above for developing, reviewing and varying standards</w:t>
      </w:r>
      <w:r w:rsidR="000E019B">
        <w:t xml:space="preserve">. </w:t>
      </w:r>
      <w:r>
        <w:t>No other relevant matters have been identified.</w:t>
      </w:r>
    </w:p>
    <w:p w14:paraId="4FFC26A3" w14:textId="77777777" w:rsidR="008102D1" w:rsidRDefault="008102D1" w:rsidP="003753CE"/>
    <w:p w14:paraId="5D21DE3B" w14:textId="197A5427" w:rsidR="00E520FE" w:rsidRPr="00932F14" w:rsidRDefault="00B30062" w:rsidP="000D2951">
      <w:pPr>
        <w:pStyle w:val="Heading1"/>
      </w:pPr>
      <w:bookmarkStart w:id="153" w:name="_Toc27667553"/>
      <w:bookmarkStart w:id="154" w:name="_Toc28953775"/>
      <w:bookmarkStart w:id="155" w:name="_Toc29288671"/>
      <w:bookmarkStart w:id="156" w:name="_Toc29998560"/>
      <w:r>
        <w:t>6</w:t>
      </w:r>
      <w:r w:rsidR="00E520FE">
        <w:tab/>
        <w:t>Risk communication</w:t>
      </w:r>
      <w:bookmarkEnd w:id="153"/>
      <w:bookmarkEnd w:id="154"/>
      <w:bookmarkEnd w:id="155"/>
      <w:bookmarkEnd w:id="156"/>
      <w:r w:rsidR="00E520FE">
        <w:t xml:space="preserve"> </w:t>
      </w:r>
    </w:p>
    <w:p w14:paraId="775768CE" w14:textId="2D753A50" w:rsidR="00E520FE" w:rsidRPr="006B0A22" w:rsidRDefault="00B30062" w:rsidP="000D2951">
      <w:pPr>
        <w:pStyle w:val="Heading2"/>
      </w:pPr>
      <w:bookmarkStart w:id="157" w:name="_Toc300933437"/>
      <w:bookmarkStart w:id="158" w:name="_Toc27667554"/>
      <w:bookmarkStart w:id="159" w:name="_Toc28953776"/>
      <w:bookmarkStart w:id="160" w:name="_Toc29288672"/>
      <w:bookmarkStart w:id="161" w:name="_Toc29998561"/>
      <w:bookmarkStart w:id="162" w:name="_Toc286391012"/>
      <w:r>
        <w:t>6</w:t>
      </w:r>
      <w:r w:rsidR="00E520FE" w:rsidRPr="006B0A22">
        <w:t>.1</w:t>
      </w:r>
      <w:r w:rsidR="00E520FE" w:rsidRPr="006B0A22">
        <w:tab/>
        <w:t>Consultation</w:t>
      </w:r>
      <w:bookmarkEnd w:id="157"/>
      <w:bookmarkEnd w:id="158"/>
      <w:bookmarkEnd w:id="159"/>
      <w:bookmarkEnd w:id="160"/>
      <w:bookmarkEnd w:id="161"/>
    </w:p>
    <w:p w14:paraId="7AFF6A6E" w14:textId="03DC7677" w:rsidR="00776ECE" w:rsidRPr="00054162" w:rsidRDefault="00776ECE" w:rsidP="00776ECE">
      <w:pPr>
        <w:rPr>
          <w:szCs w:val="22"/>
        </w:rPr>
      </w:pPr>
      <w:r w:rsidRPr="00054162">
        <w:rPr>
          <w:szCs w:val="22"/>
        </w:rPr>
        <w:t xml:space="preserve">Consultation is a key part of </w:t>
      </w:r>
      <w:r w:rsidR="006B0A22">
        <w:rPr>
          <w:szCs w:val="22"/>
        </w:rPr>
        <w:t>our</w:t>
      </w:r>
      <w:r w:rsidRPr="00054162">
        <w:rPr>
          <w:szCs w:val="22"/>
        </w:rPr>
        <w:t xml:space="preserve"> process. </w:t>
      </w:r>
      <w:r w:rsidR="006B0A22">
        <w:rPr>
          <w:szCs w:val="22"/>
        </w:rPr>
        <w:t>We</w:t>
      </w:r>
      <w:r w:rsidRPr="00054162">
        <w:rPr>
          <w:szCs w:val="22"/>
        </w:rPr>
        <w:t xml:space="preserve"> acknowledge the time taken by individuals and organisations to make submissions on this proposal. While not all submissions can be taken on board during the process, they are valued and all contribute to the rigour of our assessment. </w:t>
      </w:r>
    </w:p>
    <w:p w14:paraId="33A30775" w14:textId="77777777" w:rsidR="00776ECE" w:rsidRPr="00054162" w:rsidRDefault="00776ECE" w:rsidP="00776ECE">
      <w:pPr>
        <w:rPr>
          <w:szCs w:val="22"/>
        </w:rPr>
      </w:pPr>
    </w:p>
    <w:p w14:paraId="1061D2F9" w14:textId="7F473258" w:rsidR="00776ECE" w:rsidRPr="00141305" w:rsidRDefault="00776ECE" w:rsidP="00141305">
      <w:pPr>
        <w:rPr>
          <w:szCs w:val="22"/>
        </w:rPr>
      </w:pPr>
      <w:r w:rsidRPr="00141305">
        <w:rPr>
          <w:szCs w:val="22"/>
        </w:rPr>
        <w:lastRenderedPageBreak/>
        <w:t xml:space="preserve">Consultation with affected parties will include the FSANZ statutory consultation processes </w:t>
      </w:r>
      <w:r w:rsidR="00091124" w:rsidRPr="00141305">
        <w:rPr>
          <w:szCs w:val="22"/>
        </w:rPr>
        <w:t>(including at least one further call for submissions). We will engage</w:t>
      </w:r>
      <w:r w:rsidRPr="00141305">
        <w:rPr>
          <w:szCs w:val="22"/>
        </w:rPr>
        <w:t xml:space="preserve"> </w:t>
      </w:r>
      <w:r w:rsidR="00091124" w:rsidRPr="00141305">
        <w:rPr>
          <w:szCs w:val="22"/>
        </w:rPr>
        <w:t>with</w:t>
      </w:r>
      <w:r w:rsidRPr="00141305">
        <w:rPr>
          <w:szCs w:val="22"/>
        </w:rPr>
        <w:t xml:space="preserve"> the Horticulture </w:t>
      </w:r>
      <w:r w:rsidR="00D533AD" w:rsidRPr="00141305">
        <w:rPr>
          <w:szCs w:val="22"/>
        </w:rPr>
        <w:t>Standards Development Advisory</w:t>
      </w:r>
      <w:r w:rsidRPr="00141305">
        <w:rPr>
          <w:szCs w:val="22"/>
        </w:rPr>
        <w:t xml:space="preserve"> Group</w:t>
      </w:r>
      <w:r w:rsidR="000664EF" w:rsidRPr="00141305">
        <w:rPr>
          <w:szCs w:val="22"/>
        </w:rPr>
        <w:t xml:space="preserve"> and the Horticulture Implementation Working Group (HIWG)</w:t>
      </w:r>
      <w:r w:rsidRPr="00141305">
        <w:rPr>
          <w:szCs w:val="22"/>
        </w:rPr>
        <w:t xml:space="preserve">. </w:t>
      </w:r>
      <w:r w:rsidR="00DA0B9F" w:rsidRPr="00141305">
        <w:rPr>
          <w:szCs w:val="22"/>
        </w:rPr>
        <w:t>We will also t</w:t>
      </w:r>
      <w:r w:rsidRPr="00141305">
        <w:rPr>
          <w:szCs w:val="22"/>
        </w:rPr>
        <w:t xml:space="preserve">arget consultations with </w:t>
      </w:r>
      <w:r w:rsidR="00054162" w:rsidRPr="00141305">
        <w:rPr>
          <w:szCs w:val="22"/>
        </w:rPr>
        <w:t>industry</w:t>
      </w:r>
      <w:r w:rsidRPr="00141305">
        <w:rPr>
          <w:szCs w:val="22"/>
        </w:rPr>
        <w:t xml:space="preserve"> to understand industry practices and constraints</w:t>
      </w:r>
      <w:r w:rsidR="00DA0B9F" w:rsidRPr="00141305">
        <w:rPr>
          <w:szCs w:val="22"/>
        </w:rPr>
        <w:t>. These consultations will</w:t>
      </w:r>
      <w:r w:rsidRPr="00141305" w:rsidDel="00DA0B9F">
        <w:rPr>
          <w:szCs w:val="22"/>
        </w:rPr>
        <w:t xml:space="preserve"> </w:t>
      </w:r>
      <w:r w:rsidRPr="00141305">
        <w:rPr>
          <w:szCs w:val="22"/>
        </w:rPr>
        <w:t>better inform any measures that may be considered.</w:t>
      </w:r>
    </w:p>
    <w:p w14:paraId="585CDCD4" w14:textId="77777777" w:rsidR="00141305" w:rsidRPr="00141305" w:rsidRDefault="00141305" w:rsidP="00141305">
      <w:pPr>
        <w:rPr>
          <w:szCs w:val="22"/>
        </w:rPr>
      </w:pPr>
    </w:p>
    <w:p w14:paraId="41D91CBD" w14:textId="5DA9DBA9" w:rsidR="00141305" w:rsidRPr="00141305" w:rsidRDefault="00141305" w:rsidP="00094176">
      <w:pPr>
        <w:keepNext/>
        <w:keepLines/>
        <w:rPr>
          <w:szCs w:val="22"/>
        </w:rPr>
      </w:pPr>
      <w:r w:rsidRPr="00141305">
        <w:rPr>
          <w:szCs w:val="22"/>
        </w:rPr>
        <w:t>The release of this consultation paper will also be supported by a media release, updated website information, notification via our Food Standards News subscription service and social media channels.</w:t>
      </w:r>
    </w:p>
    <w:p w14:paraId="2183EF7E" w14:textId="1072626C" w:rsidR="0027513D" w:rsidRPr="006B0A22" w:rsidRDefault="00B30062" w:rsidP="00D533AD">
      <w:pPr>
        <w:pStyle w:val="Heading3"/>
      </w:pPr>
      <w:bookmarkStart w:id="163" w:name="_Toc27667555"/>
      <w:bookmarkStart w:id="164" w:name="_Toc28953777"/>
      <w:bookmarkStart w:id="165" w:name="_Toc29288673"/>
      <w:bookmarkStart w:id="166" w:name="_Toc29998562"/>
      <w:r>
        <w:t>6</w:t>
      </w:r>
      <w:r w:rsidR="000D2951">
        <w:t>.1.1</w:t>
      </w:r>
      <w:r w:rsidR="00D533AD" w:rsidRPr="006B0A22">
        <w:tab/>
        <w:t xml:space="preserve">Summary of submissions on </w:t>
      </w:r>
      <w:r w:rsidR="00DA0B9F">
        <w:t xml:space="preserve">2019 </w:t>
      </w:r>
      <w:r w:rsidR="00D533AD" w:rsidRPr="006B0A22">
        <w:t>information paper</w:t>
      </w:r>
      <w:bookmarkEnd w:id="163"/>
      <w:bookmarkEnd w:id="164"/>
      <w:bookmarkEnd w:id="165"/>
      <w:bookmarkEnd w:id="166"/>
    </w:p>
    <w:p w14:paraId="486F42BF" w14:textId="1C5C842B" w:rsidR="006705E9" w:rsidRPr="00AB51D6" w:rsidRDefault="006705E9" w:rsidP="006705E9">
      <w:r w:rsidRPr="00AB51D6">
        <w:t>In May 2019, FSANZ released an information paper f</w:t>
      </w:r>
      <w:r w:rsidR="00AA3511">
        <w:t>or comment about the review of C</w:t>
      </w:r>
      <w:r w:rsidRPr="00AB51D6">
        <w:t xml:space="preserve">hapters 3 and 4 of the </w:t>
      </w:r>
      <w:r w:rsidR="00ED4642">
        <w:t>Code</w:t>
      </w:r>
      <w:r w:rsidRPr="00AB51D6">
        <w:t xml:space="preserve">. It outlined the background to the review, the issues that FSANZ would consider and the proposed timelines. A key focus was addressing the request from Forum that FSANZ consider the potential development of a </w:t>
      </w:r>
      <w:r w:rsidR="00DA0B9F">
        <w:t>PPP standard</w:t>
      </w:r>
      <w:r w:rsidRPr="00AB51D6">
        <w:t xml:space="preserve"> for high-risk horticulture to manage food safety on-farm, including requirements for traceability. </w:t>
      </w:r>
    </w:p>
    <w:p w14:paraId="6F607EE9" w14:textId="77777777" w:rsidR="006705E9" w:rsidRPr="00AB51D6" w:rsidRDefault="006705E9" w:rsidP="006705E9"/>
    <w:p w14:paraId="63F1B591" w14:textId="7F70B309" w:rsidR="006705E9" w:rsidRPr="00AB51D6" w:rsidRDefault="006705E9" w:rsidP="000664EF">
      <w:pPr>
        <w:keepNext/>
        <w:keepLines/>
      </w:pPr>
      <w:r w:rsidRPr="00AB51D6">
        <w:t xml:space="preserve">In total, 35 submissions were received from stakeholders including local, state and federal government, </w:t>
      </w:r>
      <w:r w:rsidR="00AA3511">
        <w:t>non-government organisations</w:t>
      </w:r>
      <w:r w:rsidRPr="00AB51D6">
        <w:t xml:space="preserve">, retail, training organisations and industry associations. Of these submissions, 28 contained comments relevant to the high-risk horticulture work. </w:t>
      </w:r>
    </w:p>
    <w:p w14:paraId="4ACF5E82" w14:textId="77777777" w:rsidR="006705E9" w:rsidRPr="00AB51D6" w:rsidRDefault="006705E9" w:rsidP="006705E9"/>
    <w:p w14:paraId="10696B1C" w14:textId="1E125276" w:rsidR="006705E9" w:rsidRPr="00AB51D6" w:rsidRDefault="006705E9" w:rsidP="006705E9">
      <w:r w:rsidRPr="00AB51D6">
        <w:t xml:space="preserve">There was general support to consider requirements for high-risk horticulture, and there was majority support </w:t>
      </w:r>
      <w:r w:rsidR="00D80231">
        <w:t>to develop</w:t>
      </w:r>
      <w:r w:rsidRPr="00AB51D6">
        <w:t xml:space="preserve"> a </w:t>
      </w:r>
      <w:r w:rsidR="00ED4642">
        <w:t>PPP</w:t>
      </w:r>
      <w:r w:rsidRPr="00AB51D6">
        <w:t xml:space="preserve"> standard for high-risk horticulture. Views were mixed on the extent of the scope. The potential for additional burdens to be to be placed on farmers was a primary concern. Many comments also suggested FSANZ look at existing on-farm schemes used across the industry. There was support for the development of traceability provisions, addressing new technologies and the need to consult widely.</w:t>
      </w:r>
    </w:p>
    <w:p w14:paraId="2122FACD" w14:textId="46AEE8E9" w:rsidR="00E520FE" w:rsidRPr="00022DBC" w:rsidRDefault="00B30062" w:rsidP="000D2951">
      <w:pPr>
        <w:pStyle w:val="Heading2"/>
      </w:pPr>
      <w:bookmarkStart w:id="167" w:name="_Toc300761912"/>
      <w:bookmarkStart w:id="168" w:name="_Toc300933439"/>
      <w:bookmarkStart w:id="169" w:name="_Toc27667556"/>
      <w:bookmarkStart w:id="170" w:name="_Toc28953778"/>
      <w:bookmarkStart w:id="171" w:name="_Toc29288674"/>
      <w:bookmarkStart w:id="172" w:name="_Toc29998563"/>
      <w:bookmarkEnd w:id="162"/>
      <w:r>
        <w:t>6</w:t>
      </w:r>
      <w:r w:rsidR="000D2951">
        <w:t>.2</w:t>
      </w:r>
      <w:r w:rsidR="00E520FE" w:rsidRPr="00022DBC">
        <w:tab/>
        <w:t>World Trade Organization (WTO)</w:t>
      </w:r>
      <w:bookmarkEnd w:id="167"/>
      <w:bookmarkEnd w:id="168"/>
      <w:bookmarkEnd w:id="169"/>
      <w:bookmarkEnd w:id="170"/>
      <w:bookmarkEnd w:id="171"/>
      <w:bookmarkEnd w:id="172"/>
    </w:p>
    <w:p w14:paraId="55FC4CB5" w14:textId="5A5EBE51" w:rsidR="00E520FE" w:rsidRPr="00DC6570" w:rsidRDefault="00E520FE" w:rsidP="00E520FE">
      <w:pPr>
        <w:rPr>
          <w:rFonts w:cs="Arial"/>
          <w:color w:val="000000"/>
        </w:rPr>
      </w:pPr>
      <w:r w:rsidRPr="00DC6570">
        <w:rPr>
          <w:rFonts w:cs="Arial"/>
          <w:color w:val="000000"/>
        </w:rPr>
        <w:t>As members of the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w:t>
      </w:r>
      <w:r w:rsidR="00AA3511">
        <w:rPr>
          <w:rFonts w:cs="Arial"/>
          <w:color w:val="000000"/>
        </w:rPr>
        <w:t>,</w:t>
      </w:r>
      <w:r w:rsidRPr="00DC6570">
        <w:rPr>
          <w:rFonts w:cs="Arial"/>
          <w:color w:val="000000"/>
        </w:rPr>
        <w:t xml:space="preserve"> and the proposed measure may have a significant effect on trade.</w:t>
      </w:r>
    </w:p>
    <w:p w14:paraId="3A3B3F8A" w14:textId="77777777" w:rsidR="00E520FE" w:rsidRDefault="00E520FE" w:rsidP="00E520FE">
      <w:pPr>
        <w:tabs>
          <w:tab w:val="left" w:pos="1560"/>
        </w:tabs>
        <w:rPr>
          <w:rFonts w:cs="Arial"/>
        </w:rPr>
      </w:pPr>
    </w:p>
    <w:p w14:paraId="0E016368" w14:textId="404300CA" w:rsidR="00E520FE" w:rsidRPr="0078579E" w:rsidRDefault="00E520FE" w:rsidP="00E520FE">
      <w:pPr>
        <w:tabs>
          <w:tab w:val="left" w:pos="1560"/>
        </w:tabs>
        <w:rPr>
          <w:rFonts w:cs="Arial"/>
        </w:rPr>
      </w:pPr>
      <w:r w:rsidRPr="0078579E">
        <w:rPr>
          <w:rFonts w:cs="Arial"/>
        </w:rPr>
        <w:lastRenderedPageBreak/>
        <w:t xml:space="preserve">This issue will be fully considered at the next stage of the assessment and, if necessary, notification will be made in accordance with Australia’s and New Zealand’s obligations under either the WTO Technical Barriers to Trade or </w:t>
      </w:r>
      <w:r w:rsidR="00D04529" w:rsidRPr="0078579E">
        <w:rPr>
          <w:rFonts w:cs="Arial"/>
        </w:rPr>
        <w:t xml:space="preserve">Application of </w:t>
      </w:r>
      <w:r w:rsidRPr="0078579E">
        <w:rPr>
          <w:rFonts w:cs="Arial"/>
        </w:rPr>
        <w:t>Sanitary and Phytosanitary Measures Agreements. This will enable other WTO members to comment on any proposed amendments</w:t>
      </w:r>
      <w:r w:rsidR="000E019B">
        <w:rPr>
          <w:rFonts w:cs="Arial"/>
        </w:rPr>
        <w:t xml:space="preserve">. </w:t>
      </w:r>
    </w:p>
    <w:p w14:paraId="206C06A1" w14:textId="77777777" w:rsidR="001553BB" w:rsidRDefault="001553BB">
      <w:pPr>
        <w:widowControl/>
        <w:rPr>
          <w:rFonts w:cs="Arial"/>
        </w:rPr>
      </w:pPr>
      <w:r>
        <w:rPr>
          <w:rFonts w:cs="Arial"/>
        </w:rPr>
        <w:br w:type="page"/>
      </w:r>
    </w:p>
    <w:p w14:paraId="0FD459B9" w14:textId="77777777" w:rsidR="00D26814" w:rsidRPr="00680592" w:rsidRDefault="00D26814" w:rsidP="000014A2">
      <w:pPr>
        <w:pStyle w:val="FSBullet1"/>
        <w:numPr>
          <w:ilvl w:val="0"/>
          <w:numId w:val="0"/>
        </w:numPr>
        <w:ind w:left="720" w:hanging="360"/>
      </w:pPr>
      <w:bookmarkStart w:id="173" w:name="_Toc11735643"/>
      <w:bookmarkStart w:id="174" w:name="_Toc29883130"/>
      <w:bookmarkStart w:id="175" w:name="_Toc41906817"/>
      <w:bookmarkStart w:id="176" w:name="_Toc41907564"/>
      <w:bookmarkStart w:id="177" w:name="_Toc43112360"/>
      <w:bookmarkEnd w:id="30"/>
      <w:bookmarkEnd w:id="31"/>
      <w:bookmarkEnd w:id="32"/>
      <w:bookmarkEnd w:id="33"/>
      <w:bookmarkEnd w:id="34"/>
      <w:bookmarkEnd w:id="35"/>
      <w:bookmarkEnd w:id="114"/>
    </w:p>
    <w:p w14:paraId="7C8F2690" w14:textId="77777777" w:rsidR="008C674E" w:rsidRDefault="00924C80" w:rsidP="00CB1917">
      <w:pPr>
        <w:pStyle w:val="Heading1"/>
      </w:pPr>
      <w:bookmarkStart w:id="178" w:name="_Toc300933452"/>
      <w:bookmarkStart w:id="179" w:name="_Toc27667557"/>
      <w:bookmarkStart w:id="180" w:name="_Toc28953779"/>
      <w:bookmarkStart w:id="181" w:name="_Toc29288675"/>
      <w:bookmarkStart w:id="182" w:name="_Toc29998564"/>
      <w:r w:rsidRPr="0078579E">
        <w:t>R</w:t>
      </w:r>
      <w:bookmarkEnd w:id="178"/>
      <w:r w:rsidR="006C28E2" w:rsidRPr="0078579E">
        <w:t>eferences</w:t>
      </w:r>
      <w:bookmarkEnd w:id="179"/>
      <w:bookmarkEnd w:id="180"/>
      <w:bookmarkEnd w:id="181"/>
      <w:bookmarkEnd w:id="182"/>
    </w:p>
    <w:p w14:paraId="76994206" w14:textId="57589669" w:rsidR="004B1E2E" w:rsidRDefault="007114AC" w:rsidP="008C674E">
      <w:r>
        <w:rPr>
          <w:b/>
          <w:bCs/>
          <w:sz w:val="36"/>
          <w:szCs w:val="28"/>
          <w:lang w:bidi="ar-SA"/>
        </w:rPr>
        <w:fldChar w:fldCharType="begin"/>
      </w:r>
      <w:r w:rsidR="004B1E2E">
        <w:instrText>ADDIN CITAVI.BIBLIOGRAPHY PD94bWwgdmVyc2lvbj0iMS4wIiBlbmNvZGluZz0idXRmLTE2Ij8+PEJpYmxpb2dyYXBoeT48QWRkSW5WZXJzaW9uPjUuNS4wLjE8L0FkZEluVmVyc2lvbj48SWQ+ZjU5OWIzYzMtYTliYy00MWQ5LTk2YzEtNzYzYzAxMTk0ZWEw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</w:instrText>
      </w:r>
      <w:r>
        <w:rPr>
          <w:b/>
          <w:bCs/>
          <w:sz w:val="36"/>
          <w:szCs w:val="28"/>
          <w:lang w:bidi="ar-SA"/>
        </w:rPr>
        <w:fldChar w:fldCharType="separate"/>
      </w:r>
      <w:bookmarkStart w:id="183" w:name="_CTVBIBLIOGRAPHY1"/>
      <w:bookmarkEnd w:id="183"/>
    </w:p>
    <w:p w14:paraId="6D1DE123" w14:textId="77777777" w:rsidR="004B1E2E" w:rsidRDefault="004B1E2E" w:rsidP="004B1E2E">
      <w:pPr>
        <w:pStyle w:val="CitaviBibliographyEntry"/>
      </w:pPr>
      <w:bookmarkStart w:id="184" w:name="_CTVL00198e48fd95d604b799cd4110585590688"/>
      <w:r>
        <w:t>Abelson, P.; Forbes, M.P; Hall, G. (2006): The annual cost of foodborne illness in Australia.</w:t>
      </w:r>
    </w:p>
    <w:bookmarkEnd w:id="184"/>
    <w:p w14:paraId="245204F1" w14:textId="2E52FC25" w:rsidR="007C174F" w:rsidRDefault="004B1E2E" w:rsidP="007114AC">
      <w:pPr>
        <w:pStyle w:val="CitaviBibliographyEntry"/>
      </w:pPr>
      <w:r>
        <w:t>Department of Health (2014): Foodborne Illness in Australia: Annual incidence circa 2010.</w:t>
      </w:r>
      <w:r w:rsidR="007114AC">
        <w:fldChar w:fldCharType="end"/>
      </w:r>
      <w:bookmarkEnd w:id="173"/>
      <w:bookmarkEnd w:id="174"/>
      <w:bookmarkEnd w:id="175"/>
      <w:bookmarkEnd w:id="176"/>
      <w:bookmarkEnd w:id="177"/>
    </w:p>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51D0" w14:textId="77777777" w:rsidR="00373253" w:rsidRDefault="00373253">
      <w:r>
        <w:separator/>
      </w:r>
    </w:p>
  </w:endnote>
  <w:endnote w:type="continuationSeparator" w:id="0">
    <w:p w14:paraId="64BE7653" w14:textId="77777777" w:rsidR="00373253" w:rsidRDefault="00373253">
      <w:r>
        <w:continuationSeparator/>
      </w:r>
    </w:p>
  </w:endnote>
  <w:endnote w:type="continuationNotice" w:id="1">
    <w:p w14:paraId="75CCC256" w14:textId="77777777" w:rsidR="00373253" w:rsidRDefault="00373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D98" w14:textId="1524CA22" w:rsidR="00330EE0" w:rsidRDefault="00330EE0" w:rsidP="00143F6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99C3A17" w14:textId="77777777" w:rsidR="00330EE0" w:rsidRDefault="00330EE0" w:rsidP="00F1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2A40" w14:textId="2B6F3CCE" w:rsidR="00330EE0" w:rsidRDefault="00330EE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9B8">
      <w:rPr>
        <w:rStyle w:val="PageNumber"/>
        <w:noProof/>
      </w:rPr>
      <w:t>i</w:t>
    </w:r>
    <w:r>
      <w:rPr>
        <w:rStyle w:val="PageNumber"/>
      </w:rPr>
      <w:fldChar w:fldCharType="end"/>
    </w:r>
  </w:p>
  <w:p w14:paraId="573DD15C" w14:textId="77777777" w:rsidR="00330EE0" w:rsidRDefault="00330EE0" w:rsidP="00F133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3F313" w14:textId="77777777" w:rsidR="00373253" w:rsidRDefault="00373253">
      <w:r>
        <w:separator/>
      </w:r>
    </w:p>
  </w:footnote>
  <w:footnote w:type="continuationSeparator" w:id="0">
    <w:p w14:paraId="15789B6E" w14:textId="77777777" w:rsidR="00373253" w:rsidRDefault="00373253">
      <w:r>
        <w:continuationSeparator/>
      </w:r>
    </w:p>
  </w:footnote>
  <w:footnote w:type="continuationNotice" w:id="1">
    <w:p w14:paraId="575EE300" w14:textId="77777777" w:rsidR="00373253" w:rsidRDefault="00373253"/>
  </w:footnote>
  <w:footnote w:id="2">
    <w:p w14:paraId="1185D845" w14:textId="6A948031" w:rsidR="00330EE0" w:rsidRPr="008A20F9" w:rsidRDefault="00330EE0" w:rsidP="00610B99">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120C0325" w14:textId="77777777" w:rsidR="00330EE0" w:rsidRPr="00B67049" w:rsidRDefault="00330EE0" w:rsidP="00BE032C">
      <w:pPr>
        <w:pStyle w:val="FootnoteText"/>
        <w:rPr>
          <w:lang w:val="en-AU"/>
        </w:rPr>
      </w:pPr>
      <w:r w:rsidRPr="00B67049">
        <w:rPr>
          <w:rStyle w:val="FootnoteReference"/>
          <w:sz w:val="18"/>
          <w:szCs w:val="18"/>
        </w:rPr>
        <w:footnoteRef/>
      </w:r>
      <w:r w:rsidRPr="00B67049">
        <w:rPr>
          <w:sz w:val="18"/>
          <w:szCs w:val="18"/>
        </w:rPr>
        <w:t xml:space="preserve"> </w:t>
      </w:r>
      <w:hyperlink r:id="rId2" w:history="1">
        <w:r w:rsidRPr="00B67049">
          <w:rPr>
            <w:rStyle w:val="Hyperlink"/>
            <w:sz w:val="18"/>
            <w:szCs w:val="18"/>
          </w:rPr>
          <w:t>https://www.foodstandards.gov.au/code/proposals/Pages/proposalp1015primary5412.aspx</w:t>
        </w:r>
      </w:hyperlink>
    </w:p>
  </w:footnote>
  <w:footnote w:id="4">
    <w:p w14:paraId="56C678F3" w14:textId="77777777" w:rsidR="00330EE0" w:rsidRPr="00732118" w:rsidRDefault="00330EE0" w:rsidP="00610B99">
      <w:pPr>
        <w:pStyle w:val="FootnoteText"/>
        <w:rPr>
          <w:sz w:val="18"/>
          <w:szCs w:val="18"/>
          <w:lang w:val="en-AU"/>
        </w:rPr>
      </w:pPr>
      <w:r w:rsidRPr="00732118">
        <w:rPr>
          <w:rStyle w:val="FootnoteReference"/>
          <w:sz w:val="18"/>
          <w:szCs w:val="18"/>
        </w:rPr>
        <w:footnoteRef/>
      </w:r>
      <w:r w:rsidRPr="00732118">
        <w:rPr>
          <w:sz w:val="18"/>
          <w:szCs w:val="18"/>
        </w:rPr>
        <w:t xml:space="preserve"> Food safety culture in a business is how everyone (owners, managers, employees) thinks and acts in their daily job to make sure that the food they make or serve is safe. </w:t>
      </w:r>
      <w:r w:rsidRPr="00732118">
        <w:rPr>
          <w:sz w:val="18"/>
          <w:szCs w:val="18"/>
          <w:lang w:val="en-AU"/>
        </w:rPr>
        <w:t xml:space="preserve">More information is available at: </w:t>
      </w:r>
      <w:hyperlink r:id="rId3" w:history="1">
        <w:r w:rsidRPr="0043169F">
          <w:rPr>
            <w:rStyle w:val="Hyperlink"/>
            <w:sz w:val="18"/>
            <w:szCs w:val="18"/>
            <w:lang w:val="en-AU"/>
          </w:rPr>
          <w:t>https://www.foodstandards.gov.au/foodsafety/culture/Pages/default.aspx</w:t>
        </w:r>
      </w:hyperlink>
    </w:p>
  </w:footnote>
  <w:footnote w:id="5">
    <w:p w14:paraId="20134BA7" w14:textId="4DCE15C6" w:rsidR="00330EE0" w:rsidRPr="003E33BD" w:rsidRDefault="00330EE0" w:rsidP="00E977ED">
      <w:pPr>
        <w:pStyle w:val="FootnoteText"/>
        <w:rPr>
          <w:sz w:val="18"/>
          <w:szCs w:val="18"/>
          <w:lang w:val="en-AU"/>
        </w:rPr>
      </w:pPr>
      <w:r w:rsidRPr="003E33BD">
        <w:rPr>
          <w:rStyle w:val="FootnoteReference"/>
          <w:sz w:val="18"/>
          <w:szCs w:val="18"/>
        </w:rPr>
        <w:footnoteRef/>
      </w:r>
      <w:r w:rsidRPr="003E33BD">
        <w:rPr>
          <w:sz w:val="18"/>
          <w:szCs w:val="18"/>
        </w:rPr>
        <w:t xml:space="preserve"> </w:t>
      </w:r>
      <w:r w:rsidRPr="003E33BD">
        <w:rPr>
          <w:sz w:val="18"/>
          <w:szCs w:val="18"/>
          <w:lang w:val="en-AU"/>
        </w:rPr>
        <w:t xml:space="preserve">Available at: </w:t>
      </w:r>
      <w:hyperlink r:id="rId4" w:history="1">
        <w:r w:rsidRPr="00F3249C">
          <w:rPr>
            <w:rStyle w:val="Hyperlink"/>
            <w:sz w:val="18"/>
            <w:szCs w:val="18"/>
            <w:lang w:val="en-AU"/>
          </w:rPr>
          <w:t>https://www.foodstandards.gov.au/foodsafety/standards/review/Pages/default.aspx</w:t>
        </w:r>
      </w:hyperlink>
    </w:p>
  </w:footnote>
  <w:footnote w:id="6">
    <w:p w14:paraId="28217D88" w14:textId="6F370FCE" w:rsidR="00330EE0" w:rsidRPr="009863F3" w:rsidRDefault="00330EE0">
      <w:pPr>
        <w:pStyle w:val="FootnoteText"/>
        <w:rPr>
          <w:lang w:val="en-AU"/>
        </w:rPr>
      </w:pPr>
      <w:r w:rsidRPr="009863F3">
        <w:rPr>
          <w:rStyle w:val="FootnoteReference"/>
          <w:sz w:val="18"/>
          <w:szCs w:val="18"/>
        </w:rPr>
        <w:footnoteRef/>
      </w:r>
      <w:r w:rsidRPr="009863F3">
        <w:rPr>
          <w:sz w:val="18"/>
          <w:szCs w:val="18"/>
        </w:rPr>
        <w:t xml:space="preserve"> </w:t>
      </w:r>
      <w:r w:rsidRPr="009863F3">
        <w:rPr>
          <w:sz w:val="18"/>
          <w:szCs w:val="18"/>
          <w:lang w:val="en-AU"/>
        </w:rPr>
        <w:t xml:space="preserve">Available at: </w:t>
      </w:r>
      <w:hyperlink r:id="rId5" w:history="1">
        <w:r w:rsidRPr="009863F3">
          <w:rPr>
            <w:rStyle w:val="Hyperlink"/>
            <w:sz w:val="18"/>
            <w:szCs w:val="18"/>
            <w:lang w:val="en-AU"/>
          </w:rPr>
          <w:t>https://www.inspection.gc.ca/food/archived-food-guidance/fresh-fruits-and-vegetables/food-safety/minimally-processed-ready-to-eat-fruit-and-vegetab/eng/1413673339210/1413673388676?chap=0</w:t>
        </w:r>
      </w:hyperlink>
    </w:p>
  </w:footnote>
  <w:footnote w:id="7">
    <w:p w14:paraId="2B8CC989" w14:textId="689F2384" w:rsidR="00330EE0" w:rsidRPr="007B15CF" w:rsidRDefault="00330EE0" w:rsidP="005C2237">
      <w:pPr>
        <w:pStyle w:val="FootnoteText"/>
        <w:rPr>
          <w:lang w:val="en-AU"/>
        </w:rPr>
      </w:pPr>
      <w:r>
        <w:rPr>
          <w:rStyle w:val="FootnoteReference"/>
        </w:rPr>
        <w:footnoteRef/>
      </w:r>
      <w:r>
        <w:t xml:space="preserve"> </w:t>
      </w:r>
      <w:hyperlink r:id="rId6" w:history="1">
        <w:r w:rsidRPr="008A20F9">
          <w:rPr>
            <w:rStyle w:val="Hyperlink"/>
            <w:sz w:val="18"/>
            <w:szCs w:val="18"/>
          </w:rPr>
          <w:t>http://www.foodstandards.gov.au/code/proposals/Pages/proposalp1015primary5412.aspx</w:t>
        </w:r>
      </w:hyperlink>
    </w:p>
  </w:footnote>
  <w:footnote w:id="8">
    <w:p w14:paraId="26C00105" w14:textId="229098A8" w:rsidR="00330EE0" w:rsidRPr="003E1F7E" w:rsidRDefault="00330EE0">
      <w:pPr>
        <w:pStyle w:val="FootnoteText"/>
        <w:rPr>
          <w:lang w:val="en-AU"/>
        </w:rPr>
      </w:pPr>
      <w:r w:rsidRPr="003E1F7E">
        <w:rPr>
          <w:rStyle w:val="FootnoteReference"/>
          <w:sz w:val="18"/>
          <w:szCs w:val="18"/>
        </w:rPr>
        <w:footnoteRef/>
      </w:r>
      <w:r w:rsidRPr="003E1F7E">
        <w:rPr>
          <w:sz w:val="18"/>
          <w:szCs w:val="18"/>
        </w:rPr>
        <w:t xml:space="preserve"> Available at </w:t>
      </w:r>
      <w:hyperlink r:id="rId7" w:history="1">
        <w:r w:rsidRPr="003E1F7E">
          <w:rPr>
            <w:rStyle w:val="Hyperlink"/>
            <w:sz w:val="18"/>
            <w:szCs w:val="18"/>
          </w:rPr>
          <w:t>https://farmersmarkets.org.au/</w:t>
        </w:r>
      </w:hyperlink>
    </w:p>
  </w:footnote>
  <w:footnote w:id="9">
    <w:p w14:paraId="35D08B76" w14:textId="42506563" w:rsidR="00330EE0" w:rsidRDefault="00330EE0">
      <w:pPr>
        <w:pStyle w:val="FootnoteText"/>
        <w:rPr>
          <w:sz w:val="18"/>
          <w:szCs w:val="18"/>
        </w:rPr>
      </w:pPr>
      <w:r w:rsidRPr="00A64582">
        <w:rPr>
          <w:rStyle w:val="FootnoteReference"/>
          <w:sz w:val="18"/>
          <w:szCs w:val="18"/>
        </w:rPr>
        <w:footnoteRef/>
      </w:r>
      <w:r w:rsidRPr="00A64582">
        <w:rPr>
          <w:sz w:val="18"/>
          <w:szCs w:val="18"/>
        </w:rPr>
        <w:t xml:space="preserve"> </w:t>
      </w:r>
      <w:hyperlink r:id="rId8" w:history="1">
        <w:r w:rsidRPr="002F7BE1">
          <w:rPr>
            <w:rStyle w:val="Hyperlink"/>
            <w:sz w:val="18"/>
            <w:szCs w:val="18"/>
          </w:rPr>
          <w:t>https://fpsc-anz.com/</w:t>
        </w:r>
      </w:hyperlink>
    </w:p>
    <w:p w14:paraId="4285889A" w14:textId="77777777" w:rsidR="00330EE0" w:rsidRPr="00A64582" w:rsidRDefault="00330EE0">
      <w:pPr>
        <w:pStyle w:val="FootnoteText"/>
        <w:rPr>
          <w:sz w:val="18"/>
          <w:szCs w:val="18"/>
          <w:lang w:val="en-AU"/>
        </w:rPr>
      </w:pPr>
    </w:p>
  </w:footnote>
  <w:footnote w:id="10">
    <w:p w14:paraId="26FA8E51" w14:textId="77777777" w:rsidR="00330EE0" w:rsidRPr="00E66439" w:rsidRDefault="00330EE0" w:rsidP="00E82214">
      <w:pPr>
        <w:pStyle w:val="FootnoteText"/>
        <w:rPr>
          <w:sz w:val="18"/>
          <w:szCs w:val="18"/>
        </w:rPr>
      </w:pPr>
      <w:r w:rsidRPr="00E66439">
        <w:rPr>
          <w:rStyle w:val="FootnoteReference"/>
          <w:sz w:val="18"/>
          <w:szCs w:val="18"/>
        </w:rPr>
        <w:footnoteRef/>
      </w:r>
      <w:r w:rsidRPr="00E66439">
        <w:rPr>
          <w:sz w:val="18"/>
          <w:szCs w:val="18"/>
        </w:rPr>
        <w:t xml:space="preserve"> Food export review: </w:t>
      </w:r>
      <w:hyperlink r:id="rId9" w:history="1">
        <w:r w:rsidRPr="00E66439">
          <w:rPr>
            <w:rStyle w:val="Hyperlink"/>
            <w:sz w:val="18"/>
            <w:szCs w:val="18"/>
          </w:rPr>
          <w:t>http://www.agriculture.gov.au/ag-farm-food/food/regulation-safety/food-export-review</w:t>
        </w:r>
      </w:hyperlink>
    </w:p>
    <w:p w14:paraId="75326ED9" w14:textId="77777777" w:rsidR="00330EE0" w:rsidRPr="00E66439" w:rsidRDefault="00330EE0" w:rsidP="00E82214">
      <w:pPr>
        <w:pStyle w:val="FootnoteText"/>
        <w:rPr>
          <w:lang w:val="en-AU"/>
        </w:rPr>
      </w:pPr>
    </w:p>
  </w:footnote>
  <w:footnote w:id="11">
    <w:p w14:paraId="5D56E815" w14:textId="03298DF6" w:rsidR="00330EE0" w:rsidRPr="0058367B" w:rsidRDefault="00330EE0">
      <w:pPr>
        <w:pStyle w:val="FootnoteText"/>
        <w:rPr>
          <w:sz w:val="18"/>
          <w:szCs w:val="18"/>
          <w:lang w:val="en-AU"/>
        </w:rPr>
      </w:pPr>
      <w:r w:rsidRPr="0058367B">
        <w:rPr>
          <w:rStyle w:val="FootnoteReference"/>
          <w:sz w:val="18"/>
          <w:szCs w:val="18"/>
        </w:rPr>
        <w:footnoteRef/>
      </w:r>
      <w:r w:rsidRPr="0058367B">
        <w:rPr>
          <w:sz w:val="18"/>
          <w:szCs w:val="18"/>
        </w:rPr>
        <w:t xml:space="preserve"> </w:t>
      </w:r>
      <w:r w:rsidRPr="0058367B">
        <w:rPr>
          <w:sz w:val="18"/>
          <w:szCs w:val="18"/>
          <w:lang w:val="en-AU"/>
        </w:rPr>
        <w:t xml:space="preserve">Department of Agriculture’s </w:t>
      </w:r>
      <w:hyperlink r:id="rId10" w:history="1">
        <w:r w:rsidRPr="0058367B">
          <w:rPr>
            <w:rStyle w:val="Hyperlink"/>
            <w:sz w:val="18"/>
            <w:szCs w:val="18"/>
            <w:lang w:val="en-AU"/>
          </w:rPr>
          <w:t>National Traceability Project</w:t>
        </w:r>
      </w:hyperlink>
      <w:r w:rsidRPr="0058367B">
        <w:rPr>
          <w:sz w:val="18"/>
          <w:szCs w:val="18"/>
          <w:lang w:val="en-AU"/>
        </w:rPr>
        <w:t xml:space="preserve"> webpage</w:t>
      </w:r>
    </w:p>
  </w:footnote>
  <w:footnote w:id="12">
    <w:p w14:paraId="456F3144" w14:textId="24A0A08D" w:rsidR="00330EE0" w:rsidRPr="00C86C38" w:rsidRDefault="00330EE0" w:rsidP="008B6C00">
      <w:pPr>
        <w:pStyle w:val="FootnoteText"/>
        <w:rPr>
          <w:lang w:val="en-AU"/>
        </w:rPr>
      </w:pPr>
      <w:r>
        <w:rPr>
          <w:rStyle w:val="FootnoteReference"/>
        </w:rPr>
        <w:footnoteRef/>
      </w:r>
      <w:r>
        <w:t xml:space="preserve"> </w:t>
      </w:r>
      <w:r w:rsidRPr="00C86C38">
        <w:rPr>
          <w:sz w:val="18"/>
          <w:szCs w:val="18"/>
        </w:rPr>
        <w:t>A detailed overview of food safety management for horticultural products is sum</w:t>
      </w:r>
      <w:r>
        <w:rPr>
          <w:sz w:val="18"/>
          <w:szCs w:val="18"/>
        </w:rPr>
        <w:t>marised in SD2</w:t>
      </w:r>
      <w:r w:rsidRPr="00C86C38">
        <w:rPr>
          <w:sz w:val="18"/>
          <w:szCs w:val="18"/>
        </w:rPr>
        <w:t>.</w:t>
      </w:r>
    </w:p>
  </w:footnote>
  <w:footnote w:id="13">
    <w:p w14:paraId="1E94378B" w14:textId="3E2B9DCE" w:rsidR="00330EE0" w:rsidRPr="00BB3535" w:rsidRDefault="00330EE0">
      <w:pPr>
        <w:pStyle w:val="FootnoteText"/>
        <w:rPr>
          <w:sz w:val="18"/>
          <w:szCs w:val="18"/>
          <w:lang w:val="en-AU"/>
        </w:rPr>
      </w:pPr>
      <w:r w:rsidRPr="00BB3535">
        <w:rPr>
          <w:rStyle w:val="FootnoteReference"/>
          <w:sz w:val="18"/>
          <w:szCs w:val="18"/>
        </w:rPr>
        <w:footnoteRef/>
      </w:r>
      <w:r w:rsidRPr="00BB3535">
        <w:rPr>
          <w:sz w:val="18"/>
          <w:szCs w:val="18"/>
        </w:rPr>
        <w:t xml:space="preserve"> </w:t>
      </w:r>
      <w:r w:rsidRPr="00BB3535">
        <w:rPr>
          <w:sz w:val="18"/>
          <w:szCs w:val="18"/>
          <w:lang w:val="en-AU"/>
        </w:rPr>
        <w:t>Available at: https://www.foodstandards.gov.au/code/proposals/Pages/proposalp1015primary5412.aspx</w:t>
      </w:r>
    </w:p>
  </w:footnote>
  <w:footnote w:id="14">
    <w:p w14:paraId="55C1C7E2" w14:textId="77777777" w:rsidR="00330EE0" w:rsidRPr="00391245" w:rsidRDefault="00330EE0" w:rsidP="008B6C00">
      <w:pPr>
        <w:pStyle w:val="FootnoteText"/>
        <w:rPr>
          <w:sz w:val="18"/>
          <w:szCs w:val="18"/>
          <w:lang w:val="en-AU"/>
        </w:rPr>
      </w:pPr>
      <w:r w:rsidRPr="00391245">
        <w:rPr>
          <w:rStyle w:val="FootnoteReference"/>
          <w:sz w:val="18"/>
          <w:szCs w:val="18"/>
        </w:rPr>
        <w:footnoteRef/>
      </w:r>
      <w:r w:rsidRPr="00391245">
        <w:rPr>
          <w:sz w:val="18"/>
          <w:szCs w:val="18"/>
        </w:rPr>
        <w:t xml:space="preserve"> </w:t>
      </w:r>
      <w:r w:rsidRPr="00391245">
        <w:rPr>
          <w:sz w:val="18"/>
          <w:szCs w:val="18"/>
          <w:lang w:val="en-AU"/>
        </w:rPr>
        <w:t xml:space="preserve">Available at: </w:t>
      </w:r>
      <w:hyperlink r:id="rId11" w:history="1">
        <w:r w:rsidRPr="00391245">
          <w:rPr>
            <w:rStyle w:val="Hyperlink"/>
            <w:sz w:val="18"/>
            <w:szCs w:val="18"/>
            <w:lang w:val="en-AU"/>
          </w:rPr>
          <w:t>https://www.foodstandards.gov.au/code/proposals/pages/proposalp1004primary4361.aspx</w:t>
        </w:r>
      </w:hyperlink>
    </w:p>
    <w:p w14:paraId="061DFC33" w14:textId="77777777" w:rsidR="00330EE0" w:rsidRPr="00391245" w:rsidRDefault="00330EE0" w:rsidP="008B6C00">
      <w:pPr>
        <w:pStyle w:val="FootnoteText"/>
        <w:rPr>
          <w:lang w:val="en-AU"/>
        </w:rPr>
      </w:pPr>
    </w:p>
  </w:footnote>
  <w:footnote w:id="15">
    <w:p w14:paraId="4760F4DD" w14:textId="77777777" w:rsidR="00330EE0" w:rsidRPr="00C74E54" w:rsidRDefault="00330EE0" w:rsidP="008B6C00">
      <w:pPr>
        <w:rPr>
          <w:lang w:val="en-AU"/>
        </w:rPr>
      </w:pPr>
      <w:r>
        <w:rPr>
          <w:rStyle w:val="FootnoteReference"/>
        </w:rPr>
        <w:footnoteRef/>
      </w:r>
      <w:r>
        <w:t xml:space="preserve"> </w:t>
      </w:r>
      <w:r w:rsidRPr="00C74E54">
        <w:rPr>
          <w:sz w:val="18"/>
          <w:szCs w:val="18"/>
        </w:rPr>
        <w:t xml:space="preserve">The provisions in the individual states and territories </w:t>
      </w:r>
      <w:r>
        <w:rPr>
          <w:sz w:val="18"/>
          <w:szCs w:val="18"/>
        </w:rPr>
        <w:t>a</w:t>
      </w:r>
      <w:r w:rsidRPr="00C74E54">
        <w:rPr>
          <w:sz w:val="18"/>
          <w:szCs w:val="18"/>
        </w:rPr>
        <w:t>cts and regulations differ and this is a general overview from the Mode</w:t>
      </w:r>
      <w:r>
        <w:rPr>
          <w:sz w:val="18"/>
          <w:szCs w:val="18"/>
        </w:rPr>
        <w:t>l Food Provisions on which the s</w:t>
      </w:r>
      <w:r w:rsidRPr="00C74E54">
        <w:rPr>
          <w:sz w:val="18"/>
          <w:szCs w:val="18"/>
        </w:rPr>
        <w:t>tate legislation is based. The</w:t>
      </w:r>
      <w:r>
        <w:rPr>
          <w:sz w:val="18"/>
          <w:szCs w:val="18"/>
        </w:rPr>
        <w:t>re are also differences in the states as to which m</w:t>
      </w:r>
      <w:r w:rsidRPr="00C74E54">
        <w:rPr>
          <w:sz w:val="18"/>
          <w:szCs w:val="18"/>
        </w:rPr>
        <w:t>inisters and their departments have jurisdiction over the sector.</w:t>
      </w:r>
    </w:p>
  </w:footnote>
  <w:footnote w:id="16">
    <w:p w14:paraId="34AA9268" w14:textId="579EE5CD" w:rsidR="00330EE0" w:rsidRDefault="00330EE0">
      <w:pPr>
        <w:pStyle w:val="FootnoteText"/>
        <w:rPr>
          <w:sz w:val="18"/>
          <w:szCs w:val="18"/>
        </w:rPr>
      </w:pPr>
      <w:r w:rsidRPr="00E13358">
        <w:rPr>
          <w:rStyle w:val="FootnoteReference"/>
          <w:sz w:val="18"/>
          <w:szCs w:val="18"/>
        </w:rPr>
        <w:footnoteRef/>
      </w:r>
      <w:r w:rsidRPr="00E13358">
        <w:rPr>
          <w:sz w:val="18"/>
          <w:szCs w:val="18"/>
        </w:rPr>
        <w:t xml:space="preserve"> Available at </w:t>
      </w:r>
      <w:hyperlink r:id="rId12" w:history="1">
        <w:r w:rsidRPr="0005302E">
          <w:rPr>
            <w:rStyle w:val="Hyperlink"/>
            <w:sz w:val="18"/>
            <w:szCs w:val="18"/>
          </w:rPr>
          <w:t>https://foodregulation.gov.au/internet/fr/publishing.nsf/Content/food-policies</w:t>
        </w:r>
      </w:hyperlink>
    </w:p>
    <w:p w14:paraId="2A55D44E" w14:textId="77777777" w:rsidR="00330EE0" w:rsidRPr="00E13358" w:rsidRDefault="00330EE0">
      <w:pPr>
        <w:pStyle w:val="FootnoteText"/>
        <w:rPr>
          <w:sz w:val="18"/>
          <w:szCs w:val="18"/>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20A1" w14:textId="4348D7C8" w:rsidR="00330EE0" w:rsidRDefault="00330EE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AE2C29"/>
    <w:multiLevelType w:val="hybridMultilevel"/>
    <w:tmpl w:val="B0EA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E70"/>
    <w:multiLevelType w:val="hybridMultilevel"/>
    <w:tmpl w:val="1538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9733A"/>
    <w:multiLevelType w:val="hybridMultilevel"/>
    <w:tmpl w:val="6F90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04CF"/>
    <w:multiLevelType w:val="hybridMultilevel"/>
    <w:tmpl w:val="3996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C65C3"/>
    <w:multiLevelType w:val="hybridMultilevel"/>
    <w:tmpl w:val="56ECF5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75674F3"/>
    <w:multiLevelType w:val="hybridMultilevel"/>
    <w:tmpl w:val="C152F338"/>
    <w:lvl w:ilvl="0" w:tplc="C298FC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92D8D"/>
    <w:multiLevelType w:val="hybridMultilevel"/>
    <w:tmpl w:val="55948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20292"/>
    <w:multiLevelType w:val="hybridMultilevel"/>
    <w:tmpl w:val="DB04A2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76634AA">
      <w:numFmt w:val="bullet"/>
      <w:pStyle w:val="Jane"/>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469C2"/>
    <w:multiLevelType w:val="multilevel"/>
    <w:tmpl w:val="F92CA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CE075F"/>
    <w:multiLevelType w:val="hybridMultilevel"/>
    <w:tmpl w:val="DE7A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0782C"/>
    <w:multiLevelType w:val="hybridMultilevel"/>
    <w:tmpl w:val="1C6E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B5BDA"/>
    <w:multiLevelType w:val="hybridMultilevel"/>
    <w:tmpl w:val="0942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94C2B"/>
    <w:multiLevelType w:val="hybridMultilevel"/>
    <w:tmpl w:val="A750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B0F2B"/>
    <w:multiLevelType w:val="hybridMultilevel"/>
    <w:tmpl w:val="91562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7E233D"/>
    <w:multiLevelType w:val="hybridMultilevel"/>
    <w:tmpl w:val="09A8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66E2D"/>
    <w:multiLevelType w:val="hybridMultilevel"/>
    <w:tmpl w:val="05481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5C50A4"/>
    <w:multiLevelType w:val="hybridMultilevel"/>
    <w:tmpl w:val="D504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C75E3"/>
    <w:multiLevelType w:val="hybridMultilevel"/>
    <w:tmpl w:val="8E30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77BC0"/>
    <w:multiLevelType w:val="hybridMultilevel"/>
    <w:tmpl w:val="9F2A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26A98"/>
    <w:multiLevelType w:val="hybridMultilevel"/>
    <w:tmpl w:val="4208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D6209"/>
    <w:multiLevelType w:val="hybridMultilevel"/>
    <w:tmpl w:val="7D76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67EA4"/>
    <w:multiLevelType w:val="hybridMultilevel"/>
    <w:tmpl w:val="AA225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8D2FF3"/>
    <w:multiLevelType w:val="hybridMultilevel"/>
    <w:tmpl w:val="19E27010"/>
    <w:lvl w:ilvl="0" w:tplc="7F6492FA">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67D17B1E"/>
    <w:multiLevelType w:val="hybridMultilevel"/>
    <w:tmpl w:val="F5D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B541B"/>
    <w:multiLevelType w:val="hybridMultilevel"/>
    <w:tmpl w:val="D632CA72"/>
    <w:lvl w:ilvl="0" w:tplc="9E4E860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93CFC"/>
    <w:multiLevelType w:val="hybridMultilevel"/>
    <w:tmpl w:val="F4C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238F8"/>
    <w:multiLevelType w:val="hybridMultilevel"/>
    <w:tmpl w:val="84D8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5"/>
  </w:num>
  <w:num w:numId="4">
    <w:abstractNumId w:val="3"/>
  </w:num>
  <w:num w:numId="5">
    <w:abstractNumId w:val="18"/>
  </w:num>
  <w:num w:numId="6">
    <w:abstractNumId w:val="12"/>
  </w:num>
  <w:num w:numId="7">
    <w:abstractNumId w:val="6"/>
  </w:num>
  <w:num w:numId="8">
    <w:abstractNumId w:val="5"/>
  </w:num>
  <w:num w:numId="9">
    <w:abstractNumId w:val="8"/>
  </w:num>
  <w:num w:numId="10">
    <w:abstractNumId w:val="28"/>
  </w:num>
  <w:num w:numId="11">
    <w:abstractNumId w:val="10"/>
  </w:num>
  <w:num w:numId="12">
    <w:abstractNumId w:val="13"/>
  </w:num>
  <w:num w:numId="13">
    <w:abstractNumId w:val="7"/>
  </w:num>
  <w:num w:numId="14">
    <w:abstractNumId w:val="29"/>
  </w:num>
  <w:num w:numId="15">
    <w:abstractNumId w:val="1"/>
  </w:num>
  <w:num w:numId="16">
    <w:abstractNumId w:val="4"/>
  </w:num>
  <w:num w:numId="17">
    <w:abstractNumId w:val="24"/>
  </w:num>
  <w:num w:numId="18">
    <w:abstractNumId w:val="21"/>
  </w:num>
  <w:num w:numId="19">
    <w:abstractNumId w:val="14"/>
  </w:num>
  <w:num w:numId="20">
    <w:abstractNumId w:val="23"/>
  </w:num>
  <w:num w:numId="21">
    <w:abstractNumId w:val="26"/>
  </w:num>
  <w:num w:numId="22">
    <w:abstractNumId w:val="2"/>
  </w:num>
  <w:num w:numId="23">
    <w:abstractNumId w:val="17"/>
  </w:num>
  <w:num w:numId="24">
    <w:abstractNumId w:val="11"/>
  </w:num>
  <w:num w:numId="25">
    <w:abstractNumId w:val="16"/>
  </w:num>
  <w:num w:numId="26">
    <w:abstractNumId w:val="15"/>
  </w:num>
  <w:num w:numId="27">
    <w:abstractNumId w:val="22"/>
  </w:num>
  <w:num w:numId="28">
    <w:abstractNumId w:val="20"/>
  </w:num>
  <w:num w:numId="29">
    <w:abstractNumId w:val="9"/>
  </w:num>
  <w:num w:numId="30">
    <w:abstractNumId w:val="8"/>
  </w:num>
  <w:num w:numId="3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E8"/>
    <w:rsid w:val="00000888"/>
    <w:rsid w:val="000014A2"/>
    <w:rsid w:val="00001CF2"/>
    <w:rsid w:val="0000247B"/>
    <w:rsid w:val="00004274"/>
    <w:rsid w:val="000045D9"/>
    <w:rsid w:val="0000469B"/>
    <w:rsid w:val="000056FA"/>
    <w:rsid w:val="00006335"/>
    <w:rsid w:val="00006F4A"/>
    <w:rsid w:val="00016CB6"/>
    <w:rsid w:val="00017F5F"/>
    <w:rsid w:val="0002274F"/>
    <w:rsid w:val="00022874"/>
    <w:rsid w:val="00022DBC"/>
    <w:rsid w:val="000235B3"/>
    <w:rsid w:val="000308BF"/>
    <w:rsid w:val="00032725"/>
    <w:rsid w:val="00032A61"/>
    <w:rsid w:val="00032DAB"/>
    <w:rsid w:val="00034DA1"/>
    <w:rsid w:val="00034F87"/>
    <w:rsid w:val="000357D8"/>
    <w:rsid w:val="00035FF3"/>
    <w:rsid w:val="00037685"/>
    <w:rsid w:val="000427B2"/>
    <w:rsid w:val="00046DA6"/>
    <w:rsid w:val="00051021"/>
    <w:rsid w:val="00051ED9"/>
    <w:rsid w:val="00052E68"/>
    <w:rsid w:val="00053110"/>
    <w:rsid w:val="00054162"/>
    <w:rsid w:val="000564DE"/>
    <w:rsid w:val="00057181"/>
    <w:rsid w:val="00064B2D"/>
    <w:rsid w:val="00065E5F"/>
    <w:rsid w:val="00065F1F"/>
    <w:rsid w:val="000664EF"/>
    <w:rsid w:val="00066E9D"/>
    <w:rsid w:val="00071491"/>
    <w:rsid w:val="000735FD"/>
    <w:rsid w:val="0007466A"/>
    <w:rsid w:val="00074A5F"/>
    <w:rsid w:val="00076D33"/>
    <w:rsid w:val="000778D6"/>
    <w:rsid w:val="000854F7"/>
    <w:rsid w:val="000877DD"/>
    <w:rsid w:val="00090743"/>
    <w:rsid w:val="00091124"/>
    <w:rsid w:val="00091CC2"/>
    <w:rsid w:val="00094176"/>
    <w:rsid w:val="0009553C"/>
    <w:rsid w:val="000957CE"/>
    <w:rsid w:val="00095940"/>
    <w:rsid w:val="00096B01"/>
    <w:rsid w:val="000A03A2"/>
    <w:rsid w:val="000A14E1"/>
    <w:rsid w:val="000A27E9"/>
    <w:rsid w:val="000A28B8"/>
    <w:rsid w:val="000A3D8B"/>
    <w:rsid w:val="000A5DF8"/>
    <w:rsid w:val="000A65F6"/>
    <w:rsid w:val="000B6AF2"/>
    <w:rsid w:val="000C0944"/>
    <w:rsid w:val="000C329B"/>
    <w:rsid w:val="000C3A51"/>
    <w:rsid w:val="000C412C"/>
    <w:rsid w:val="000C518D"/>
    <w:rsid w:val="000C752E"/>
    <w:rsid w:val="000D2951"/>
    <w:rsid w:val="000D295F"/>
    <w:rsid w:val="000D2C2B"/>
    <w:rsid w:val="000D586D"/>
    <w:rsid w:val="000D628D"/>
    <w:rsid w:val="000D64DC"/>
    <w:rsid w:val="000D6FD4"/>
    <w:rsid w:val="000D79C8"/>
    <w:rsid w:val="000E019B"/>
    <w:rsid w:val="000E0AE4"/>
    <w:rsid w:val="000E3DBC"/>
    <w:rsid w:val="000E5133"/>
    <w:rsid w:val="000E5B79"/>
    <w:rsid w:val="000F0B6A"/>
    <w:rsid w:val="000F57B7"/>
    <w:rsid w:val="001006CF"/>
    <w:rsid w:val="001032F5"/>
    <w:rsid w:val="00104A1B"/>
    <w:rsid w:val="001051E3"/>
    <w:rsid w:val="001108DB"/>
    <w:rsid w:val="001113D5"/>
    <w:rsid w:val="00113CE3"/>
    <w:rsid w:val="0011532A"/>
    <w:rsid w:val="001155C2"/>
    <w:rsid w:val="00115F74"/>
    <w:rsid w:val="00117522"/>
    <w:rsid w:val="00120BDA"/>
    <w:rsid w:val="001220BA"/>
    <w:rsid w:val="00123A05"/>
    <w:rsid w:val="00124F14"/>
    <w:rsid w:val="0012681A"/>
    <w:rsid w:val="001308F6"/>
    <w:rsid w:val="00137D06"/>
    <w:rsid w:val="00141305"/>
    <w:rsid w:val="00143F6C"/>
    <w:rsid w:val="0014521B"/>
    <w:rsid w:val="00147C18"/>
    <w:rsid w:val="00151550"/>
    <w:rsid w:val="001528BD"/>
    <w:rsid w:val="001542D8"/>
    <w:rsid w:val="001543D8"/>
    <w:rsid w:val="001553BB"/>
    <w:rsid w:val="00155CF1"/>
    <w:rsid w:val="00157944"/>
    <w:rsid w:val="001618C2"/>
    <w:rsid w:val="00161CDB"/>
    <w:rsid w:val="00164877"/>
    <w:rsid w:val="00166A79"/>
    <w:rsid w:val="00167719"/>
    <w:rsid w:val="00180C41"/>
    <w:rsid w:val="00182C4C"/>
    <w:rsid w:val="00185F5C"/>
    <w:rsid w:val="00186BD1"/>
    <w:rsid w:val="00190C6C"/>
    <w:rsid w:val="00191821"/>
    <w:rsid w:val="001927D5"/>
    <w:rsid w:val="00195254"/>
    <w:rsid w:val="00197D8D"/>
    <w:rsid w:val="001A14CA"/>
    <w:rsid w:val="001A1A75"/>
    <w:rsid w:val="001A37F7"/>
    <w:rsid w:val="001A5D34"/>
    <w:rsid w:val="001A7E9A"/>
    <w:rsid w:val="001B289B"/>
    <w:rsid w:val="001B4E55"/>
    <w:rsid w:val="001C1B91"/>
    <w:rsid w:val="001C240A"/>
    <w:rsid w:val="001C27A3"/>
    <w:rsid w:val="001C282C"/>
    <w:rsid w:val="001C321D"/>
    <w:rsid w:val="001C3571"/>
    <w:rsid w:val="001C3D2F"/>
    <w:rsid w:val="001C5295"/>
    <w:rsid w:val="001C5903"/>
    <w:rsid w:val="001C6351"/>
    <w:rsid w:val="001C70B8"/>
    <w:rsid w:val="001E09FA"/>
    <w:rsid w:val="001E41BD"/>
    <w:rsid w:val="001E7278"/>
    <w:rsid w:val="001F5B9C"/>
    <w:rsid w:val="001F6652"/>
    <w:rsid w:val="001F6F1C"/>
    <w:rsid w:val="001F719F"/>
    <w:rsid w:val="001F71F8"/>
    <w:rsid w:val="001F74B2"/>
    <w:rsid w:val="001F7B1A"/>
    <w:rsid w:val="00200571"/>
    <w:rsid w:val="00201CEB"/>
    <w:rsid w:val="00201D1F"/>
    <w:rsid w:val="00202084"/>
    <w:rsid w:val="00203350"/>
    <w:rsid w:val="00203540"/>
    <w:rsid w:val="00203A12"/>
    <w:rsid w:val="00204691"/>
    <w:rsid w:val="0020498A"/>
    <w:rsid w:val="0021024E"/>
    <w:rsid w:val="00212BC4"/>
    <w:rsid w:val="00215A87"/>
    <w:rsid w:val="00217C44"/>
    <w:rsid w:val="00217C85"/>
    <w:rsid w:val="00221D07"/>
    <w:rsid w:val="00225A02"/>
    <w:rsid w:val="00226C91"/>
    <w:rsid w:val="00227E4A"/>
    <w:rsid w:val="002304CC"/>
    <w:rsid w:val="0023212B"/>
    <w:rsid w:val="002321E4"/>
    <w:rsid w:val="0023555A"/>
    <w:rsid w:val="00240E86"/>
    <w:rsid w:val="00241D4D"/>
    <w:rsid w:val="002432EE"/>
    <w:rsid w:val="0024582E"/>
    <w:rsid w:val="00247C68"/>
    <w:rsid w:val="002517DB"/>
    <w:rsid w:val="00252926"/>
    <w:rsid w:val="002547EF"/>
    <w:rsid w:val="00256D65"/>
    <w:rsid w:val="0025774D"/>
    <w:rsid w:val="00260862"/>
    <w:rsid w:val="002615E5"/>
    <w:rsid w:val="00266EF6"/>
    <w:rsid w:val="00267330"/>
    <w:rsid w:val="00271F00"/>
    <w:rsid w:val="00273A80"/>
    <w:rsid w:val="0027513D"/>
    <w:rsid w:val="00276026"/>
    <w:rsid w:val="00277FBC"/>
    <w:rsid w:val="002802DE"/>
    <w:rsid w:val="00282B2A"/>
    <w:rsid w:val="002851C8"/>
    <w:rsid w:val="002871FB"/>
    <w:rsid w:val="0029204E"/>
    <w:rsid w:val="00293DB4"/>
    <w:rsid w:val="00293E53"/>
    <w:rsid w:val="00294846"/>
    <w:rsid w:val="00294BAD"/>
    <w:rsid w:val="00296257"/>
    <w:rsid w:val="0029631C"/>
    <w:rsid w:val="002A0194"/>
    <w:rsid w:val="002A5F8B"/>
    <w:rsid w:val="002A7F6C"/>
    <w:rsid w:val="002B0D8E"/>
    <w:rsid w:val="002B3237"/>
    <w:rsid w:val="002B5259"/>
    <w:rsid w:val="002C396D"/>
    <w:rsid w:val="002C4A91"/>
    <w:rsid w:val="002C7CE9"/>
    <w:rsid w:val="002D3993"/>
    <w:rsid w:val="002D65B9"/>
    <w:rsid w:val="002D6809"/>
    <w:rsid w:val="002D6FF5"/>
    <w:rsid w:val="002E086A"/>
    <w:rsid w:val="002F07F2"/>
    <w:rsid w:val="002F099F"/>
    <w:rsid w:val="002F6488"/>
    <w:rsid w:val="0030279C"/>
    <w:rsid w:val="003071F2"/>
    <w:rsid w:val="003108F6"/>
    <w:rsid w:val="00310D71"/>
    <w:rsid w:val="00310E84"/>
    <w:rsid w:val="0031429E"/>
    <w:rsid w:val="00315A71"/>
    <w:rsid w:val="0031681C"/>
    <w:rsid w:val="003174BC"/>
    <w:rsid w:val="003213F9"/>
    <w:rsid w:val="00323DBF"/>
    <w:rsid w:val="003309A8"/>
    <w:rsid w:val="00330B80"/>
    <w:rsid w:val="00330EE0"/>
    <w:rsid w:val="00332B12"/>
    <w:rsid w:val="0033470E"/>
    <w:rsid w:val="00336711"/>
    <w:rsid w:val="003405DF"/>
    <w:rsid w:val="00340A06"/>
    <w:rsid w:val="00341680"/>
    <w:rsid w:val="00347935"/>
    <w:rsid w:val="00350220"/>
    <w:rsid w:val="00350DBD"/>
    <w:rsid w:val="00351927"/>
    <w:rsid w:val="00351B07"/>
    <w:rsid w:val="00354D5E"/>
    <w:rsid w:val="00360244"/>
    <w:rsid w:val="00362061"/>
    <w:rsid w:val="0036268A"/>
    <w:rsid w:val="00364841"/>
    <w:rsid w:val="00364985"/>
    <w:rsid w:val="00370445"/>
    <w:rsid w:val="00371B29"/>
    <w:rsid w:val="00372182"/>
    <w:rsid w:val="00373253"/>
    <w:rsid w:val="0037520F"/>
    <w:rsid w:val="003753CE"/>
    <w:rsid w:val="00376427"/>
    <w:rsid w:val="00380B69"/>
    <w:rsid w:val="003827D6"/>
    <w:rsid w:val="00382BA2"/>
    <w:rsid w:val="00387D80"/>
    <w:rsid w:val="00390D69"/>
    <w:rsid w:val="00391245"/>
    <w:rsid w:val="00391769"/>
    <w:rsid w:val="0039257B"/>
    <w:rsid w:val="003953E1"/>
    <w:rsid w:val="003956B3"/>
    <w:rsid w:val="003A1D51"/>
    <w:rsid w:val="003A369A"/>
    <w:rsid w:val="003A6464"/>
    <w:rsid w:val="003A68BE"/>
    <w:rsid w:val="003A7725"/>
    <w:rsid w:val="003B0BA6"/>
    <w:rsid w:val="003B3C9D"/>
    <w:rsid w:val="003B78E0"/>
    <w:rsid w:val="003C0A94"/>
    <w:rsid w:val="003C4969"/>
    <w:rsid w:val="003C5B20"/>
    <w:rsid w:val="003C774C"/>
    <w:rsid w:val="003D24A9"/>
    <w:rsid w:val="003D2D6A"/>
    <w:rsid w:val="003D3257"/>
    <w:rsid w:val="003D3A8D"/>
    <w:rsid w:val="003E175E"/>
    <w:rsid w:val="003E1F7E"/>
    <w:rsid w:val="003E33BD"/>
    <w:rsid w:val="003E41D5"/>
    <w:rsid w:val="003E46BA"/>
    <w:rsid w:val="003E7D22"/>
    <w:rsid w:val="003F3E02"/>
    <w:rsid w:val="003F74C1"/>
    <w:rsid w:val="00401E62"/>
    <w:rsid w:val="00405B1A"/>
    <w:rsid w:val="004068F5"/>
    <w:rsid w:val="00407241"/>
    <w:rsid w:val="0040761E"/>
    <w:rsid w:val="00407CD1"/>
    <w:rsid w:val="00407DF4"/>
    <w:rsid w:val="00410263"/>
    <w:rsid w:val="00410C76"/>
    <w:rsid w:val="00411907"/>
    <w:rsid w:val="00413CA8"/>
    <w:rsid w:val="00413ED3"/>
    <w:rsid w:val="00417EE3"/>
    <w:rsid w:val="004207EB"/>
    <w:rsid w:val="0042362C"/>
    <w:rsid w:val="00433D61"/>
    <w:rsid w:val="00435FA5"/>
    <w:rsid w:val="004361A9"/>
    <w:rsid w:val="00436B8D"/>
    <w:rsid w:val="00437276"/>
    <w:rsid w:val="00443891"/>
    <w:rsid w:val="00443C43"/>
    <w:rsid w:val="00447E67"/>
    <w:rsid w:val="00453F53"/>
    <w:rsid w:val="0045469D"/>
    <w:rsid w:val="0045556F"/>
    <w:rsid w:val="00456B54"/>
    <w:rsid w:val="00456D08"/>
    <w:rsid w:val="00457FDD"/>
    <w:rsid w:val="00460141"/>
    <w:rsid w:val="00460A23"/>
    <w:rsid w:val="00461C97"/>
    <w:rsid w:val="00464643"/>
    <w:rsid w:val="004646F8"/>
    <w:rsid w:val="004653F6"/>
    <w:rsid w:val="004723A0"/>
    <w:rsid w:val="00473F70"/>
    <w:rsid w:val="004746DC"/>
    <w:rsid w:val="00476172"/>
    <w:rsid w:val="00477124"/>
    <w:rsid w:val="004864BB"/>
    <w:rsid w:val="00486793"/>
    <w:rsid w:val="00491043"/>
    <w:rsid w:val="00493976"/>
    <w:rsid w:val="0049458E"/>
    <w:rsid w:val="0049729B"/>
    <w:rsid w:val="004A067A"/>
    <w:rsid w:val="004A2037"/>
    <w:rsid w:val="004A3685"/>
    <w:rsid w:val="004B1E2E"/>
    <w:rsid w:val="004B6BFB"/>
    <w:rsid w:val="004C0FAB"/>
    <w:rsid w:val="004C2CE7"/>
    <w:rsid w:val="004C4F51"/>
    <w:rsid w:val="004D30A6"/>
    <w:rsid w:val="004D3677"/>
    <w:rsid w:val="004D5C15"/>
    <w:rsid w:val="004D6411"/>
    <w:rsid w:val="004D6BBF"/>
    <w:rsid w:val="004D6DF3"/>
    <w:rsid w:val="004D7A0B"/>
    <w:rsid w:val="004E4AD1"/>
    <w:rsid w:val="004E5130"/>
    <w:rsid w:val="004E532D"/>
    <w:rsid w:val="004E5EA4"/>
    <w:rsid w:val="004F32F9"/>
    <w:rsid w:val="004F4F98"/>
    <w:rsid w:val="004F69F6"/>
    <w:rsid w:val="004F79AC"/>
    <w:rsid w:val="00500468"/>
    <w:rsid w:val="005013BF"/>
    <w:rsid w:val="005017CF"/>
    <w:rsid w:val="00502857"/>
    <w:rsid w:val="00511807"/>
    <w:rsid w:val="00512290"/>
    <w:rsid w:val="00515506"/>
    <w:rsid w:val="0051603C"/>
    <w:rsid w:val="00517D61"/>
    <w:rsid w:val="00520477"/>
    <w:rsid w:val="005207D8"/>
    <w:rsid w:val="00521F70"/>
    <w:rsid w:val="00522659"/>
    <w:rsid w:val="00522DEB"/>
    <w:rsid w:val="0052649E"/>
    <w:rsid w:val="00532BAB"/>
    <w:rsid w:val="00532BEF"/>
    <w:rsid w:val="0053304A"/>
    <w:rsid w:val="00534422"/>
    <w:rsid w:val="0053464E"/>
    <w:rsid w:val="005358B0"/>
    <w:rsid w:val="00543849"/>
    <w:rsid w:val="005447AE"/>
    <w:rsid w:val="00553969"/>
    <w:rsid w:val="00562917"/>
    <w:rsid w:val="00563B5C"/>
    <w:rsid w:val="0056681F"/>
    <w:rsid w:val="00566E12"/>
    <w:rsid w:val="00567082"/>
    <w:rsid w:val="00567639"/>
    <w:rsid w:val="0057286D"/>
    <w:rsid w:val="00576C99"/>
    <w:rsid w:val="00580741"/>
    <w:rsid w:val="00581110"/>
    <w:rsid w:val="00581A0B"/>
    <w:rsid w:val="00581A89"/>
    <w:rsid w:val="00582700"/>
    <w:rsid w:val="0058296E"/>
    <w:rsid w:val="0058367B"/>
    <w:rsid w:val="00586228"/>
    <w:rsid w:val="00591393"/>
    <w:rsid w:val="0059227F"/>
    <w:rsid w:val="00592F11"/>
    <w:rsid w:val="0059498B"/>
    <w:rsid w:val="005A23A4"/>
    <w:rsid w:val="005A272C"/>
    <w:rsid w:val="005A3A03"/>
    <w:rsid w:val="005A3F70"/>
    <w:rsid w:val="005B01E7"/>
    <w:rsid w:val="005B030F"/>
    <w:rsid w:val="005B4A6E"/>
    <w:rsid w:val="005B615C"/>
    <w:rsid w:val="005B6AF4"/>
    <w:rsid w:val="005B6D08"/>
    <w:rsid w:val="005C04CB"/>
    <w:rsid w:val="005C05E0"/>
    <w:rsid w:val="005C2237"/>
    <w:rsid w:val="005C71BA"/>
    <w:rsid w:val="005D16AD"/>
    <w:rsid w:val="005D1C06"/>
    <w:rsid w:val="005D3255"/>
    <w:rsid w:val="005D59EB"/>
    <w:rsid w:val="005D668E"/>
    <w:rsid w:val="005D72E1"/>
    <w:rsid w:val="005E1EAB"/>
    <w:rsid w:val="005E256F"/>
    <w:rsid w:val="005E2F53"/>
    <w:rsid w:val="005E4C7F"/>
    <w:rsid w:val="005E6E16"/>
    <w:rsid w:val="005F0C44"/>
    <w:rsid w:val="005F278D"/>
    <w:rsid w:val="005F3E61"/>
    <w:rsid w:val="005F400E"/>
    <w:rsid w:val="005F558B"/>
    <w:rsid w:val="005F7342"/>
    <w:rsid w:val="006027EC"/>
    <w:rsid w:val="00602DFB"/>
    <w:rsid w:val="00603A08"/>
    <w:rsid w:val="006066BC"/>
    <w:rsid w:val="00606C88"/>
    <w:rsid w:val="006071A7"/>
    <w:rsid w:val="00607694"/>
    <w:rsid w:val="00607903"/>
    <w:rsid w:val="00610A3C"/>
    <w:rsid w:val="00610B99"/>
    <w:rsid w:val="00611BDE"/>
    <w:rsid w:val="00611CBE"/>
    <w:rsid w:val="0061775C"/>
    <w:rsid w:val="006211CD"/>
    <w:rsid w:val="00623A59"/>
    <w:rsid w:val="00623CB7"/>
    <w:rsid w:val="006257A5"/>
    <w:rsid w:val="00626ECA"/>
    <w:rsid w:val="00627DB3"/>
    <w:rsid w:val="00627F48"/>
    <w:rsid w:val="00630393"/>
    <w:rsid w:val="00630DAE"/>
    <w:rsid w:val="00633ACA"/>
    <w:rsid w:val="006342E0"/>
    <w:rsid w:val="006356D2"/>
    <w:rsid w:val="00640376"/>
    <w:rsid w:val="00642A47"/>
    <w:rsid w:val="00646FDD"/>
    <w:rsid w:val="00653FE6"/>
    <w:rsid w:val="00657716"/>
    <w:rsid w:val="00662B8C"/>
    <w:rsid w:val="00663FCF"/>
    <w:rsid w:val="006652A2"/>
    <w:rsid w:val="006705E9"/>
    <w:rsid w:val="00672F85"/>
    <w:rsid w:val="00676BC0"/>
    <w:rsid w:val="00677D65"/>
    <w:rsid w:val="00680592"/>
    <w:rsid w:val="00681754"/>
    <w:rsid w:val="00681D53"/>
    <w:rsid w:val="00683B31"/>
    <w:rsid w:val="00683E69"/>
    <w:rsid w:val="00685269"/>
    <w:rsid w:val="00687590"/>
    <w:rsid w:val="006937FF"/>
    <w:rsid w:val="006964A5"/>
    <w:rsid w:val="006965BF"/>
    <w:rsid w:val="00697241"/>
    <w:rsid w:val="006A19FD"/>
    <w:rsid w:val="006A48A7"/>
    <w:rsid w:val="006A657D"/>
    <w:rsid w:val="006B0A22"/>
    <w:rsid w:val="006B0B56"/>
    <w:rsid w:val="006B4263"/>
    <w:rsid w:val="006B4BA1"/>
    <w:rsid w:val="006B55F3"/>
    <w:rsid w:val="006B5C1D"/>
    <w:rsid w:val="006C28E2"/>
    <w:rsid w:val="006C5CF5"/>
    <w:rsid w:val="006C5FB4"/>
    <w:rsid w:val="006C6ABF"/>
    <w:rsid w:val="006D698A"/>
    <w:rsid w:val="006D6FC6"/>
    <w:rsid w:val="006D7256"/>
    <w:rsid w:val="006D7F9F"/>
    <w:rsid w:val="006E32D7"/>
    <w:rsid w:val="006E4A81"/>
    <w:rsid w:val="006E50BC"/>
    <w:rsid w:val="006E527D"/>
    <w:rsid w:val="006F17A0"/>
    <w:rsid w:val="006F260F"/>
    <w:rsid w:val="006F2755"/>
    <w:rsid w:val="006F4A82"/>
    <w:rsid w:val="006F4DC5"/>
    <w:rsid w:val="006F7331"/>
    <w:rsid w:val="00700239"/>
    <w:rsid w:val="007022A3"/>
    <w:rsid w:val="0070373B"/>
    <w:rsid w:val="007057C3"/>
    <w:rsid w:val="007068A0"/>
    <w:rsid w:val="007075CA"/>
    <w:rsid w:val="00707E72"/>
    <w:rsid w:val="0071086B"/>
    <w:rsid w:val="007113EB"/>
    <w:rsid w:val="007114AC"/>
    <w:rsid w:val="007214A0"/>
    <w:rsid w:val="0072150F"/>
    <w:rsid w:val="00722953"/>
    <w:rsid w:val="00724FA4"/>
    <w:rsid w:val="00726C2F"/>
    <w:rsid w:val="00730800"/>
    <w:rsid w:val="00732118"/>
    <w:rsid w:val="007368AB"/>
    <w:rsid w:val="00737902"/>
    <w:rsid w:val="00741EFE"/>
    <w:rsid w:val="0074224C"/>
    <w:rsid w:val="0074352A"/>
    <w:rsid w:val="0074699D"/>
    <w:rsid w:val="00750CE5"/>
    <w:rsid w:val="007549D1"/>
    <w:rsid w:val="00754F8F"/>
    <w:rsid w:val="007559CD"/>
    <w:rsid w:val="00755AEA"/>
    <w:rsid w:val="007601C6"/>
    <w:rsid w:val="007602AA"/>
    <w:rsid w:val="00764D33"/>
    <w:rsid w:val="007652EF"/>
    <w:rsid w:val="00772BDC"/>
    <w:rsid w:val="00772FBF"/>
    <w:rsid w:val="00773033"/>
    <w:rsid w:val="0077573A"/>
    <w:rsid w:val="00776ECE"/>
    <w:rsid w:val="00777C38"/>
    <w:rsid w:val="00780536"/>
    <w:rsid w:val="00780792"/>
    <w:rsid w:val="007808B2"/>
    <w:rsid w:val="0078579E"/>
    <w:rsid w:val="00791907"/>
    <w:rsid w:val="00793AA8"/>
    <w:rsid w:val="00794734"/>
    <w:rsid w:val="007978BC"/>
    <w:rsid w:val="007A44B4"/>
    <w:rsid w:val="007A6476"/>
    <w:rsid w:val="007A67B0"/>
    <w:rsid w:val="007A6FD4"/>
    <w:rsid w:val="007A7D3D"/>
    <w:rsid w:val="007B1451"/>
    <w:rsid w:val="007B225D"/>
    <w:rsid w:val="007C174F"/>
    <w:rsid w:val="007C1BA7"/>
    <w:rsid w:val="007C1C64"/>
    <w:rsid w:val="007C35A7"/>
    <w:rsid w:val="007D046E"/>
    <w:rsid w:val="007D40A1"/>
    <w:rsid w:val="007E4832"/>
    <w:rsid w:val="007E48BC"/>
    <w:rsid w:val="007E617C"/>
    <w:rsid w:val="007E79F7"/>
    <w:rsid w:val="007E7A5A"/>
    <w:rsid w:val="007F188F"/>
    <w:rsid w:val="007F3479"/>
    <w:rsid w:val="007F3630"/>
    <w:rsid w:val="007F5DBD"/>
    <w:rsid w:val="007F65A0"/>
    <w:rsid w:val="007F68CC"/>
    <w:rsid w:val="007F6DD9"/>
    <w:rsid w:val="007F6FB3"/>
    <w:rsid w:val="007F772C"/>
    <w:rsid w:val="008009AD"/>
    <w:rsid w:val="008025B7"/>
    <w:rsid w:val="008048A2"/>
    <w:rsid w:val="008073A7"/>
    <w:rsid w:val="00807559"/>
    <w:rsid w:val="008102D1"/>
    <w:rsid w:val="00810662"/>
    <w:rsid w:val="00810D6A"/>
    <w:rsid w:val="00820535"/>
    <w:rsid w:val="00822F3B"/>
    <w:rsid w:val="008237A9"/>
    <w:rsid w:val="00824B03"/>
    <w:rsid w:val="008315AF"/>
    <w:rsid w:val="00832182"/>
    <w:rsid w:val="008325AC"/>
    <w:rsid w:val="00832614"/>
    <w:rsid w:val="008336BF"/>
    <w:rsid w:val="008341D2"/>
    <w:rsid w:val="008417F0"/>
    <w:rsid w:val="00844688"/>
    <w:rsid w:val="008450BC"/>
    <w:rsid w:val="0084615D"/>
    <w:rsid w:val="00850D35"/>
    <w:rsid w:val="00851A60"/>
    <w:rsid w:val="0085334B"/>
    <w:rsid w:val="00855A72"/>
    <w:rsid w:val="00856BBB"/>
    <w:rsid w:val="008574F9"/>
    <w:rsid w:val="00857EC6"/>
    <w:rsid w:val="008617C1"/>
    <w:rsid w:val="0086481E"/>
    <w:rsid w:val="0086786E"/>
    <w:rsid w:val="00867B23"/>
    <w:rsid w:val="00870214"/>
    <w:rsid w:val="00876258"/>
    <w:rsid w:val="00876515"/>
    <w:rsid w:val="0088247F"/>
    <w:rsid w:val="008828D9"/>
    <w:rsid w:val="00885C51"/>
    <w:rsid w:val="00885EB0"/>
    <w:rsid w:val="008872C2"/>
    <w:rsid w:val="0089264A"/>
    <w:rsid w:val="008947CB"/>
    <w:rsid w:val="00896B85"/>
    <w:rsid w:val="00897554"/>
    <w:rsid w:val="008A16B6"/>
    <w:rsid w:val="008A20F9"/>
    <w:rsid w:val="008A22BE"/>
    <w:rsid w:val="008A3221"/>
    <w:rsid w:val="008A35FB"/>
    <w:rsid w:val="008A60F3"/>
    <w:rsid w:val="008B0075"/>
    <w:rsid w:val="008B06AD"/>
    <w:rsid w:val="008B5567"/>
    <w:rsid w:val="008B5DCF"/>
    <w:rsid w:val="008B6C00"/>
    <w:rsid w:val="008C063D"/>
    <w:rsid w:val="008C0E7A"/>
    <w:rsid w:val="008C1B36"/>
    <w:rsid w:val="008C674E"/>
    <w:rsid w:val="008D0308"/>
    <w:rsid w:val="008D06C6"/>
    <w:rsid w:val="008D2CB3"/>
    <w:rsid w:val="008D5D95"/>
    <w:rsid w:val="008E1605"/>
    <w:rsid w:val="008E6250"/>
    <w:rsid w:val="008F1946"/>
    <w:rsid w:val="008F4016"/>
    <w:rsid w:val="00901EF6"/>
    <w:rsid w:val="00902AF6"/>
    <w:rsid w:val="00904560"/>
    <w:rsid w:val="00904F5F"/>
    <w:rsid w:val="00905B65"/>
    <w:rsid w:val="009066BF"/>
    <w:rsid w:val="00913B2D"/>
    <w:rsid w:val="00914030"/>
    <w:rsid w:val="009177EF"/>
    <w:rsid w:val="00920249"/>
    <w:rsid w:val="00921AE3"/>
    <w:rsid w:val="00924C80"/>
    <w:rsid w:val="00927201"/>
    <w:rsid w:val="00932A90"/>
    <w:rsid w:val="00932F14"/>
    <w:rsid w:val="00933965"/>
    <w:rsid w:val="00935AC2"/>
    <w:rsid w:val="00935C6C"/>
    <w:rsid w:val="00937A9A"/>
    <w:rsid w:val="00941421"/>
    <w:rsid w:val="009417FA"/>
    <w:rsid w:val="009422D2"/>
    <w:rsid w:val="0094247F"/>
    <w:rsid w:val="00942C62"/>
    <w:rsid w:val="00942D60"/>
    <w:rsid w:val="00944BA4"/>
    <w:rsid w:val="009514AE"/>
    <w:rsid w:val="009532B8"/>
    <w:rsid w:val="0095382E"/>
    <w:rsid w:val="009543DC"/>
    <w:rsid w:val="00956927"/>
    <w:rsid w:val="00957F17"/>
    <w:rsid w:val="0096523B"/>
    <w:rsid w:val="00966EE3"/>
    <w:rsid w:val="00972D06"/>
    <w:rsid w:val="009732DC"/>
    <w:rsid w:val="009800BE"/>
    <w:rsid w:val="009804FA"/>
    <w:rsid w:val="00982BB9"/>
    <w:rsid w:val="00983219"/>
    <w:rsid w:val="00984636"/>
    <w:rsid w:val="009863F3"/>
    <w:rsid w:val="00987E8B"/>
    <w:rsid w:val="00992F6E"/>
    <w:rsid w:val="009952B0"/>
    <w:rsid w:val="00996300"/>
    <w:rsid w:val="00997B78"/>
    <w:rsid w:val="009A391C"/>
    <w:rsid w:val="009A50F2"/>
    <w:rsid w:val="009A587E"/>
    <w:rsid w:val="009A6AB1"/>
    <w:rsid w:val="009B187A"/>
    <w:rsid w:val="009B1E19"/>
    <w:rsid w:val="009B29C0"/>
    <w:rsid w:val="009B3C1C"/>
    <w:rsid w:val="009B7436"/>
    <w:rsid w:val="009C068B"/>
    <w:rsid w:val="009C3570"/>
    <w:rsid w:val="009C4322"/>
    <w:rsid w:val="009C45B2"/>
    <w:rsid w:val="009C5736"/>
    <w:rsid w:val="009C6ABC"/>
    <w:rsid w:val="009D6377"/>
    <w:rsid w:val="009D64C2"/>
    <w:rsid w:val="009D790B"/>
    <w:rsid w:val="009E048D"/>
    <w:rsid w:val="009E0A61"/>
    <w:rsid w:val="009E0D64"/>
    <w:rsid w:val="009E1044"/>
    <w:rsid w:val="009E3010"/>
    <w:rsid w:val="009E3830"/>
    <w:rsid w:val="009E6ED1"/>
    <w:rsid w:val="009F007E"/>
    <w:rsid w:val="009F1BCF"/>
    <w:rsid w:val="009F1F3C"/>
    <w:rsid w:val="009F2648"/>
    <w:rsid w:val="009F303A"/>
    <w:rsid w:val="009F37AA"/>
    <w:rsid w:val="009F7065"/>
    <w:rsid w:val="00A0416C"/>
    <w:rsid w:val="00A047C6"/>
    <w:rsid w:val="00A05506"/>
    <w:rsid w:val="00A07A3F"/>
    <w:rsid w:val="00A07E71"/>
    <w:rsid w:val="00A12B44"/>
    <w:rsid w:val="00A154F8"/>
    <w:rsid w:val="00A166B7"/>
    <w:rsid w:val="00A178C4"/>
    <w:rsid w:val="00A22C0B"/>
    <w:rsid w:val="00A25066"/>
    <w:rsid w:val="00A35C93"/>
    <w:rsid w:val="00A40193"/>
    <w:rsid w:val="00A4175D"/>
    <w:rsid w:val="00A45009"/>
    <w:rsid w:val="00A47FD5"/>
    <w:rsid w:val="00A54836"/>
    <w:rsid w:val="00A54934"/>
    <w:rsid w:val="00A55C36"/>
    <w:rsid w:val="00A560F0"/>
    <w:rsid w:val="00A56DC7"/>
    <w:rsid w:val="00A56E34"/>
    <w:rsid w:val="00A57C42"/>
    <w:rsid w:val="00A64582"/>
    <w:rsid w:val="00A67DEF"/>
    <w:rsid w:val="00A70913"/>
    <w:rsid w:val="00A74CDC"/>
    <w:rsid w:val="00A74FD1"/>
    <w:rsid w:val="00A76600"/>
    <w:rsid w:val="00A7708C"/>
    <w:rsid w:val="00A801AE"/>
    <w:rsid w:val="00A84349"/>
    <w:rsid w:val="00A84A58"/>
    <w:rsid w:val="00A90400"/>
    <w:rsid w:val="00A91DF1"/>
    <w:rsid w:val="00A92B3D"/>
    <w:rsid w:val="00A96DE0"/>
    <w:rsid w:val="00AA29C4"/>
    <w:rsid w:val="00AA2B81"/>
    <w:rsid w:val="00AA3511"/>
    <w:rsid w:val="00AA4C0A"/>
    <w:rsid w:val="00AB0275"/>
    <w:rsid w:val="00AB21A4"/>
    <w:rsid w:val="00AB354A"/>
    <w:rsid w:val="00AB51D6"/>
    <w:rsid w:val="00AC0037"/>
    <w:rsid w:val="00AC16CE"/>
    <w:rsid w:val="00AC37A0"/>
    <w:rsid w:val="00AC6011"/>
    <w:rsid w:val="00AC74CB"/>
    <w:rsid w:val="00AD0337"/>
    <w:rsid w:val="00AD1DAB"/>
    <w:rsid w:val="00AD22F9"/>
    <w:rsid w:val="00AD3698"/>
    <w:rsid w:val="00AD7A3D"/>
    <w:rsid w:val="00AE04D2"/>
    <w:rsid w:val="00AE4E6E"/>
    <w:rsid w:val="00AE5558"/>
    <w:rsid w:val="00AE766D"/>
    <w:rsid w:val="00AF06FC"/>
    <w:rsid w:val="00AF3391"/>
    <w:rsid w:val="00AF387F"/>
    <w:rsid w:val="00AF4D36"/>
    <w:rsid w:val="00AF602C"/>
    <w:rsid w:val="00B00E7F"/>
    <w:rsid w:val="00B04644"/>
    <w:rsid w:val="00B04973"/>
    <w:rsid w:val="00B04CF0"/>
    <w:rsid w:val="00B12F31"/>
    <w:rsid w:val="00B12FA8"/>
    <w:rsid w:val="00B132C9"/>
    <w:rsid w:val="00B15A93"/>
    <w:rsid w:val="00B173DA"/>
    <w:rsid w:val="00B21DCC"/>
    <w:rsid w:val="00B25ACE"/>
    <w:rsid w:val="00B25F37"/>
    <w:rsid w:val="00B30062"/>
    <w:rsid w:val="00B333A7"/>
    <w:rsid w:val="00B34D3B"/>
    <w:rsid w:val="00B35983"/>
    <w:rsid w:val="00B402AA"/>
    <w:rsid w:val="00B43050"/>
    <w:rsid w:val="00B443BB"/>
    <w:rsid w:val="00B44422"/>
    <w:rsid w:val="00B45288"/>
    <w:rsid w:val="00B456CE"/>
    <w:rsid w:val="00B46B0B"/>
    <w:rsid w:val="00B46EA0"/>
    <w:rsid w:val="00B50773"/>
    <w:rsid w:val="00B51E03"/>
    <w:rsid w:val="00B53E8E"/>
    <w:rsid w:val="00B56E6E"/>
    <w:rsid w:val="00B60BBE"/>
    <w:rsid w:val="00B61B75"/>
    <w:rsid w:val="00B63ECD"/>
    <w:rsid w:val="00B65710"/>
    <w:rsid w:val="00B669B6"/>
    <w:rsid w:val="00B67049"/>
    <w:rsid w:val="00B7011D"/>
    <w:rsid w:val="00B71F51"/>
    <w:rsid w:val="00B731D3"/>
    <w:rsid w:val="00B801C3"/>
    <w:rsid w:val="00B803AF"/>
    <w:rsid w:val="00B839A3"/>
    <w:rsid w:val="00B83B06"/>
    <w:rsid w:val="00B853D2"/>
    <w:rsid w:val="00B87F97"/>
    <w:rsid w:val="00B902BD"/>
    <w:rsid w:val="00B91820"/>
    <w:rsid w:val="00B9270B"/>
    <w:rsid w:val="00B9277D"/>
    <w:rsid w:val="00B9694C"/>
    <w:rsid w:val="00B97FB4"/>
    <w:rsid w:val="00BA24E2"/>
    <w:rsid w:val="00BA42A5"/>
    <w:rsid w:val="00BB1E0C"/>
    <w:rsid w:val="00BB3535"/>
    <w:rsid w:val="00BB5930"/>
    <w:rsid w:val="00BC2DE7"/>
    <w:rsid w:val="00BC39A7"/>
    <w:rsid w:val="00BC4993"/>
    <w:rsid w:val="00BC6122"/>
    <w:rsid w:val="00BC767E"/>
    <w:rsid w:val="00BD2A39"/>
    <w:rsid w:val="00BD2E80"/>
    <w:rsid w:val="00BE032C"/>
    <w:rsid w:val="00BE11B8"/>
    <w:rsid w:val="00BE3818"/>
    <w:rsid w:val="00BE4320"/>
    <w:rsid w:val="00BE52A0"/>
    <w:rsid w:val="00BF5534"/>
    <w:rsid w:val="00BF7756"/>
    <w:rsid w:val="00BF7FF0"/>
    <w:rsid w:val="00C03231"/>
    <w:rsid w:val="00C0393D"/>
    <w:rsid w:val="00C04A28"/>
    <w:rsid w:val="00C10D01"/>
    <w:rsid w:val="00C12502"/>
    <w:rsid w:val="00C1266C"/>
    <w:rsid w:val="00C126CC"/>
    <w:rsid w:val="00C12E2A"/>
    <w:rsid w:val="00C14FD2"/>
    <w:rsid w:val="00C20C85"/>
    <w:rsid w:val="00C27CAA"/>
    <w:rsid w:val="00C30466"/>
    <w:rsid w:val="00C30B63"/>
    <w:rsid w:val="00C31EA9"/>
    <w:rsid w:val="00C32BB8"/>
    <w:rsid w:val="00C3328D"/>
    <w:rsid w:val="00C335FD"/>
    <w:rsid w:val="00C36578"/>
    <w:rsid w:val="00C36986"/>
    <w:rsid w:val="00C40796"/>
    <w:rsid w:val="00C40AA5"/>
    <w:rsid w:val="00C41427"/>
    <w:rsid w:val="00C423B7"/>
    <w:rsid w:val="00C426E8"/>
    <w:rsid w:val="00C45E62"/>
    <w:rsid w:val="00C46F70"/>
    <w:rsid w:val="00C476D0"/>
    <w:rsid w:val="00C527EA"/>
    <w:rsid w:val="00C55C17"/>
    <w:rsid w:val="00C55DDC"/>
    <w:rsid w:val="00C56F71"/>
    <w:rsid w:val="00C63580"/>
    <w:rsid w:val="00C669B8"/>
    <w:rsid w:val="00C67188"/>
    <w:rsid w:val="00C70DD7"/>
    <w:rsid w:val="00C7495B"/>
    <w:rsid w:val="00C74E54"/>
    <w:rsid w:val="00C836E3"/>
    <w:rsid w:val="00C86577"/>
    <w:rsid w:val="00C86C38"/>
    <w:rsid w:val="00C86F27"/>
    <w:rsid w:val="00C92E07"/>
    <w:rsid w:val="00C9316B"/>
    <w:rsid w:val="00C93523"/>
    <w:rsid w:val="00C948F1"/>
    <w:rsid w:val="00C94942"/>
    <w:rsid w:val="00C95A55"/>
    <w:rsid w:val="00C96868"/>
    <w:rsid w:val="00C96A50"/>
    <w:rsid w:val="00CA0416"/>
    <w:rsid w:val="00CA2343"/>
    <w:rsid w:val="00CA3C65"/>
    <w:rsid w:val="00CA7F35"/>
    <w:rsid w:val="00CB1375"/>
    <w:rsid w:val="00CB1917"/>
    <w:rsid w:val="00CB2808"/>
    <w:rsid w:val="00CB3C1D"/>
    <w:rsid w:val="00CB4E4C"/>
    <w:rsid w:val="00CB7DFB"/>
    <w:rsid w:val="00CC0124"/>
    <w:rsid w:val="00CC0AF6"/>
    <w:rsid w:val="00CC0F48"/>
    <w:rsid w:val="00CC1227"/>
    <w:rsid w:val="00CC17AD"/>
    <w:rsid w:val="00CC36E7"/>
    <w:rsid w:val="00CC560B"/>
    <w:rsid w:val="00CC75E2"/>
    <w:rsid w:val="00CD1B7B"/>
    <w:rsid w:val="00CD46EB"/>
    <w:rsid w:val="00CD6075"/>
    <w:rsid w:val="00CD7EBF"/>
    <w:rsid w:val="00CE0AEB"/>
    <w:rsid w:val="00CE25C8"/>
    <w:rsid w:val="00CE3F7B"/>
    <w:rsid w:val="00CE5A07"/>
    <w:rsid w:val="00CE710C"/>
    <w:rsid w:val="00CE7C0C"/>
    <w:rsid w:val="00CF148C"/>
    <w:rsid w:val="00D00D1D"/>
    <w:rsid w:val="00D02101"/>
    <w:rsid w:val="00D04529"/>
    <w:rsid w:val="00D056F1"/>
    <w:rsid w:val="00D062E4"/>
    <w:rsid w:val="00D10E06"/>
    <w:rsid w:val="00D11171"/>
    <w:rsid w:val="00D11658"/>
    <w:rsid w:val="00D14405"/>
    <w:rsid w:val="00D144D4"/>
    <w:rsid w:val="00D165A1"/>
    <w:rsid w:val="00D2071E"/>
    <w:rsid w:val="00D209C9"/>
    <w:rsid w:val="00D228C0"/>
    <w:rsid w:val="00D22B46"/>
    <w:rsid w:val="00D22F3C"/>
    <w:rsid w:val="00D23458"/>
    <w:rsid w:val="00D23967"/>
    <w:rsid w:val="00D23DB6"/>
    <w:rsid w:val="00D263C6"/>
    <w:rsid w:val="00D26814"/>
    <w:rsid w:val="00D2751E"/>
    <w:rsid w:val="00D30C3A"/>
    <w:rsid w:val="00D30FF4"/>
    <w:rsid w:val="00D3171B"/>
    <w:rsid w:val="00D319F3"/>
    <w:rsid w:val="00D33F56"/>
    <w:rsid w:val="00D43FE6"/>
    <w:rsid w:val="00D4600B"/>
    <w:rsid w:val="00D47175"/>
    <w:rsid w:val="00D50CD6"/>
    <w:rsid w:val="00D51A95"/>
    <w:rsid w:val="00D533AD"/>
    <w:rsid w:val="00D5712A"/>
    <w:rsid w:val="00D5763A"/>
    <w:rsid w:val="00D60568"/>
    <w:rsid w:val="00D63C3B"/>
    <w:rsid w:val="00D676CF"/>
    <w:rsid w:val="00D70C7A"/>
    <w:rsid w:val="00D73931"/>
    <w:rsid w:val="00D763BE"/>
    <w:rsid w:val="00D80231"/>
    <w:rsid w:val="00D817F6"/>
    <w:rsid w:val="00D81D38"/>
    <w:rsid w:val="00D8470F"/>
    <w:rsid w:val="00D8471A"/>
    <w:rsid w:val="00D853F9"/>
    <w:rsid w:val="00D85401"/>
    <w:rsid w:val="00D85B35"/>
    <w:rsid w:val="00D85E38"/>
    <w:rsid w:val="00D902FC"/>
    <w:rsid w:val="00DA054C"/>
    <w:rsid w:val="00DA0B9F"/>
    <w:rsid w:val="00DA10A8"/>
    <w:rsid w:val="00DA3CCE"/>
    <w:rsid w:val="00DA4A53"/>
    <w:rsid w:val="00DA53DE"/>
    <w:rsid w:val="00DB0284"/>
    <w:rsid w:val="00DB1E08"/>
    <w:rsid w:val="00DB2973"/>
    <w:rsid w:val="00DB324A"/>
    <w:rsid w:val="00DB50E3"/>
    <w:rsid w:val="00DB7A08"/>
    <w:rsid w:val="00DC1B56"/>
    <w:rsid w:val="00DC2129"/>
    <w:rsid w:val="00DC3C72"/>
    <w:rsid w:val="00DC6570"/>
    <w:rsid w:val="00DC6E47"/>
    <w:rsid w:val="00DD3C5E"/>
    <w:rsid w:val="00DD51E0"/>
    <w:rsid w:val="00DD759F"/>
    <w:rsid w:val="00DE0940"/>
    <w:rsid w:val="00DE1173"/>
    <w:rsid w:val="00DE1307"/>
    <w:rsid w:val="00DE3D09"/>
    <w:rsid w:val="00DE44E8"/>
    <w:rsid w:val="00DE79D9"/>
    <w:rsid w:val="00DF25C3"/>
    <w:rsid w:val="00DF6DA8"/>
    <w:rsid w:val="00DF7A57"/>
    <w:rsid w:val="00E00B7F"/>
    <w:rsid w:val="00E04062"/>
    <w:rsid w:val="00E0493A"/>
    <w:rsid w:val="00E0518A"/>
    <w:rsid w:val="00E063C6"/>
    <w:rsid w:val="00E10FF4"/>
    <w:rsid w:val="00E11E2B"/>
    <w:rsid w:val="00E1289E"/>
    <w:rsid w:val="00E13358"/>
    <w:rsid w:val="00E1368B"/>
    <w:rsid w:val="00E136DA"/>
    <w:rsid w:val="00E16F61"/>
    <w:rsid w:val="00E2003B"/>
    <w:rsid w:val="00E203C2"/>
    <w:rsid w:val="00E2417F"/>
    <w:rsid w:val="00E24DE8"/>
    <w:rsid w:val="00E279D8"/>
    <w:rsid w:val="00E319B1"/>
    <w:rsid w:val="00E3230B"/>
    <w:rsid w:val="00E35C3C"/>
    <w:rsid w:val="00E40ED4"/>
    <w:rsid w:val="00E442DA"/>
    <w:rsid w:val="00E44E0D"/>
    <w:rsid w:val="00E46076"/>
    <w:rsid w:val="00E46189"/>
    <w:rsid w:val="00E520FE"/>
    <w:rsid w:val="00E52219"/>
    <w:rsid w:val="00E53F25"/>
    <w:rsid w:val="00E5492F"/>
    <w:rsid w:val="00E62017"/>
    <w:rsid w:val="00E6234D"/>
    <w:rsid w:val="00E62DEF"/>
    <w:rsid w:val="00E63790"/>
    <w:rsid w:val="00E645D5"/>
    <w:rsid w:val="00E66439"/>
    <w:rsid w:val="00E70A86"/>
    <w:rsid w:val="00E70BB1"/>
    <w:rsid w:val="00E72650"/>
    <w:rsid w:val="00E75054"/>
    <w:rsid w:val="00E751D6"/>
    <w:rsid w:val="00E76C58"/>
    <w:rsid w:val="00E777EC"/>
    <w:rsid w:val="00E80A55"/>
    <w:rsid w:val="00E80FCD"/>
    <w:rsid w:val="00E81F6E"/>
    <w:rsid w:val="00E82214"/>
    <w:rsid w:val="00E85523"/>
    <w:rsid w:val="00E86CAB"/>
    <w:rsid w:val="00E87581"/>
    <w:rsid w:val="00E87F64"/>
    <w:rsid w:val="00E92218"/>
    <w:rsid w:val="00E929A7"/>
    <w:rsid w:val="00E95E9D"/>
    <w:rsid w:val="00E977ED"/>
    <w:rsid w:val="00EA24A8"/>
    <w:rsid w:val="00EA4913"/>
    <w:rsid w:val="00EA5A2E"/>
    <w:rsid w:val="00EA68D6"/>
    <w:rsid w:val="00EA73D1"/>
    <w:rsid w:val="00EA7F2F"/>
    <w:rsid w:val="00EB7126"/>
    <w:rsid w:val="00EC00DE"/>
    <w:rsid w:val="00EC1D24"/>
    <w:rsid w:val="00EC2B9D"/>
    <w:rsid w:val="00EC30E1"/>
    <w:rsid w:val="00ED172A"/>
    <w:rsid w:val="00ED1C81"/>
    <w:rsid w:val="00ED25B2"/>
    <w:rsid w:val="00ED4642"/>
    <w:rsid w:val="00ED5569"/>
    <w:rsid w:val="00EE0A23"/>
    <w:rsid w:val="00EE1B09"/>
    <w:rsid w:val="00EE55EE"/>
    <w:rsid w:val="00EF0731"/>
    <w:rsid w:val="00EF3BE9"/>
    <w:rsid w:val="00EF4C8E"/>
    <w:rsid w:val="00EF7AD5"/>
    <w:rsid w:val="00F0449C"/>
    <w:rsid w:val="00F04CF9"/>
    <w:rsid w:val="00F064DE"/>
    <w:rsid w:val="00F0750B"/>
    <w:rsid w:val="00F07C46"/>
    <w:rsid w:val="00F11CFE"/>
    <w:rsid w:val="00F12202"/>
    <w:rsid w:val="00F13368"/>
    <w:rsid w:val="00F14534"/>
    <w:rsid w:val="00F14BEC"/>
    <w:rsid w:val="00F15EFE"/>
    <w:rsid w:val="00F212A2"/>
    <w:rsid w:val="00F216F2"/>
    <w:rsid w:val="00F22008"/>
    <w:rsid w:val="00F225C5"/>
    <w:rsid w:val="00F2587A"/>
    <w:rsid w:val="00F2744A"/>
    <w:rsid w:val="00F33BB8"/>
    <w:rsid w:val="00F33DFE"/>
    <w:rsid w:val="00F367E7"/>
    <w:rsid w:val="00F3715D"/>
    <w:rsid w:val="00F420C8"/>
    <w:rsid w:val="00F42175"/>
    <w:rsid w:val="00F42937"/>
    <w:rsid w:val="00F42A4C"/>
    <w:rsid w:val="00F46EF3"/>
    <w:rsid w:val="00F53B04"/>
    <w:rsid w:val="00F551D5"/>
    <w:rsid w:val="00F56EA5"/>
    <w:rsid w:val="00F604DE"/>
    <w:rsid w:val="00F63D64"/>
    <w:rsid w:val="00F64653"/>
    <w:rsid w:val="00F7767A"/>
    <w:rsid w:val="00F77DCD"/>
    <w:rsid w:val="00F84B98"/>
    <w:rsid w:val="00F86BAE"/>
    <w:rsid w:val="00F92DBB"/>
    <w:rsid w:val="00F94EFE"/>
    <w:rsid w:val="00F97F28"/>
    <w:rsid w:val="00FA01EA"/>
    <w:rsid w:val="00FA2D5A"/>
    <w:rsid w:val="00FA367B"/>
    <w:rsid w:val="00FA3D66"/>
    <w:rsid w:val="00FB13D6"/>
    <w:rsid w:val="00FB1458"/>
    <w:rsid w:val="00FB1533"/>
    <w:rsid w:val="00FB67A3"/>
    <w:rsid w:val="00FB7512"/>
    <w:rsid w:val="00FC7572"/>
    <w:rsid w:val="00FD2FBE"/>
    <w:rsid w:val="00FD36F3"/>
    <w:rsid w:val="00FD7547"/>
    <w:rsid w:val="00FE3F79"/>
    <w:rsid w:val="00FF04BE"/>
    <w:rsid w:val="00FF1120"/>
    <w:rsid w:val="00FF23F0"/>
    <w:rsid w:val="00FF49ED"/>
    <w:rsid w:val="00FF524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65B79E"/>
  <w15:docId w15:val="{420F3CAE-72B2-44A4-8848-5D444998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E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C7495B"/>
    <w:pPr>
      <w:tabs>
        <w:tab w:val="left" w:pos="1100"/>
        <w:tab w:val="right" w:leader="dot" w:pos="9060"/>
      </w:tabs>
      <w:ind w:left="993" w:hanging="553"/>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5"/>
    <w:qFormat/>
    <w:locked/>
    <w:rsid w:val="00944BA4"/>
    <w:pPr>
      <w:widowControl/>
      <w:numPr>
        <w:numId w:val="1"/>
      </w:numPr>
    </w:pPr>
    <w:rPr>
      <w:rFonts w:cs="Arial"/>
      <w:lang w:bidi="ar-SA"/>
    </w:rPr>
  </w:style>
  <w:style w:type="character" w:customStyle="1" w:styleId="FSBullet1Char">
    <w:name w:val="FSBullet 1 Char"/>
    <w:link w:val="FSBullet1"/>
    <w:uiPriority w:val="5"/>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F064DE"/>
    <w:pPr>
      <w:ind w:left="720"/>
      <w:contextualSpacing/>
    </w:pPr>
  </w:style>
  <w:style w:type="paragraph" w:customStyle="1" w:styleId="FSBullet">
    <w:name w:val="FS Bullet"/>
    <w:basedOn w:val="Normal"/>
    <w:next w:val="Normal"/>
    <w:link w:val="FSBulletChar"/>
    <w:qFormat/>
    <w:rsid w:val="00F064DE"/>
    <w:pPr>
      <w:ind w:left="567" w:hanging="567"/>
    </w:pPr>
    <w:rPr>
      <w:rFonts w:cs="Arial"/>
    </w:rPr>
  </w:style>
  <w:style w:type="character" w:customStyle="1" w:styleId="FSBulletChar">
    <w:name w:val="FS Bullet Char"/>
    <w:basedOn w:val="DefaultParagraphFont"/>
    <w:link w:val="FSBullet"/>
    <w:rsid w:val="00F064DE"/>
    <w:rPr>
      <w:rFonts w:ascii="Arial" w:hAnsi="Arial" w:cs="Arial"/>
      <w:sz w:val="22"/>
      <w:szCs w:val="24"/>
      <w:lang w:eastAsia="en-US" w:bidi="en-US"/>
    </w:rPr>
  </w:style>
  <w:style w:type="paragraph" w:customStyle="1" w:styleId="Default">
    <w:name w:val="Default"/>
    <w:basedOn w:val="Normal"/>
    <w:rsid w:val="009A6AB1"/>
    <w:pPr>
      <w:widowControl/>
      <w:autoSpaceDE w:val="0"/>
      <w:autoSpaceDN w:val="0"/>
    </w:pPr>
    <w:rPr>
      <w:rFonts w:eastAsiaTheme="minorHAnsi" w:cs="Arial"/>
      <w:color w:val="000000"/>
      <w:sz w:val="24"/>
      <w:lang w:eastAsia="en-GB" w:bidi="ar-SA"/>
    </w:rPr>
  </w:style>
  <w:style w:type="paragraph" w:customStyle="1" w:styleId="Jane">
    <w:name w:val="Jane"/>
    <w:basedOn w:val="Normal"/>
    <w:rsid w:val="00933965"/>
    <w:pPr>
      <w:widowControl/>
      <w:numPr>
        <w:ilvl w:val="2"/>
        <w:numId w:val="9"/>
      </w:numPr>
      <w:tabs>
        <w:tab w:val="left" w:pos="357"/>
      </w:tabs>
    </w:pPr>
    <w:rPr>
      <w:lang w:val="en-AU" w:bidi="ar-SA"/>
    </w:rPr>
  </w:style>
  <w:style w:type="paragraph" w:customStyle="1" w:styleId="Janem">
    <w:name w:val="Jane m"/>
    <w:basedOn w:val="Jane"/>
    <w:rsid w:val="00933965"/>
  </w:style>
  <w:style w:type="paragraph" w:customStyle="1" w:styleId="CitaviBibliographyEntry">
    <w:name w:val="Citavi Bibliography Entry"/>
    <w:basedOn w:val="Normal"/>
    <w:link w:val="CitaviBibliographyEntryChar"/>
    <w:rsid w:val="00581A0B"/>
    <w:pPr>
      <w:spacing w:after="120"/>
    </w:pPr>
  </w:style>
  <w:style w:type="character" w:customStyle="1" w:styleId="CitaviBibliographyEntryChar">
    <w:name w:val="Citavi Bibliography Entry Char"/>
    <w:basedOn w:val="DefaultParagraphFont"/>
    <w:link w:val="CitaviBibliographyEntry"/>
    <w:rsid w:val="00581A0B"/>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581A0B"/>
  </w:style>
  <w:style w:type="character" w:customStyle="1" w:styleId="CitaviBibliographyHeadingChar">
    <w:name w:val="Citavi Bibliography Heading Char"/>
    <w:basedOn w:val="DefaultParagraphFont"/>
    <w:link w:val="CitaviBibliographyHeading"/>
    <w:rsid w:val="00581A0B"/>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581A0B"/>
    <w:pPr>
      <w:tabs>
        <w:tab w:val="left" w:pos="1134"/>
      </w:tabs>
      <w:outlineLvl w:val="9"/>
    </w:pPr>
  </w:style>
  <w:style w:type="character" w:customStyle="1" w:styleId="CitaviBibliographySubheading1Char">
    <w:name w:val="Citavi Bibliography Subheading 1 Char"/>
    <w:basedOn w:val="DefaultParagraphFont"/>
    <w:link w:val="CitaviBibliographySubheading1"/>
    <w:rsid w:val="00581A0B"/>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581A0B"/>
    <w:pPr>
      <w:tabs>
        <w:tab w:val="left" w:pos="1134"/>
      </w:tabs>
      <w:outlineLvl w:val="9"/>
    </w:pPr>
    <w:rPr>
      <w:szCs w:val="22"/>
    </w:rPr>
  </w:style>
  <w:style w:type="character" w:customStyle="1" w:styleId="CitaviBibliographySubheading2Char">
    <w:name w:val="Citavi Bibliography Subheading 2 Char"/>
    <w:basedOn w:val="DefaultParagraphFont"/>
    <w:link w:val="CitaviBibliographySubheading2"/>
    <w:rsid w:val="00581A0B"/>
    <w:rPr>
      <w:rFonts w:ascii="Arial" w:hAnsi="Arial"/>
      <w:b/>
      <w:bCs/>
      <w:color w:val="000000" w:themeColor="text1"/>
      <w:sz w:val="22"/>
      <w:szCs w:val="22"/>
      <w:lang w:eastAsia="en-AU"/>
    </w:rPr>
  </w:style>
  <w:style w:type="paragraph" w:customStyle="1" w:styleId="CitaviBibliographySubheading3">
    <w:name w:val="Citavi Bibliography Subheading 3"/>
    <w:basedOn w:val="Heading4"/>
    <w:link w:val="CitaviBibliographySubheading3Char"/>
    <w:rsid w:val="00581A0B"/>
    <w:pPr>
      <w:tabs>
        <w:tab w:val="left" w:pos="1134"/>
      </w:tabs>
      <w:outlineLvl w:val="9"/>
    </w:pPr>
  </w:style>
  <w:style w:type="character" w:customStyle="1" w:styleId="CitaviBibliographySubheading3Char">
    <w:name w:val="Citavi Bibliography Subheading 3 Char"/>
    <w:basedOn w:val="DefaultParagraphFont"/>
    <w:link w:val="CitaviBibliographySubheading3"/>
    <w:rsid w:val="00581A0B"/>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581A0B"/>
    <w:pPr>
      <w:tabs>
        <w:tab w:val="left" w:pos="1134"/>
      </w:tabs>
      <w:outlineLvl w:val="9"/>
    </w:pPr>
  </w:style>
  <w:style w:type="character" w:customStyle="1" w:styleId="CitaviBibliographySubheading4Char">
    <w:name w:val="Citavi Bibliography Subheading 4 Char"/>
    <w:basedOn w:val="DefaultParagraphFont"/>
    <w:link w:val="CitaviBibliographySubheading4"/>
    <w:rsid w:val="00581A0B"/>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581A0B"/>
    <w:pPr>
      <w:tabs>
        <w:tab w:val="left" w:pos="1134"/>
      </w:tabs>
      <w:outlineLvl w:val="9"/>
    </w:pPr>
  </w:style>
  <w:style w:type="character" w:customStyle="1" w:styleId="CitaviBibliographySubheading5Char">
    <w:name w:val="Citavi Bibliography Subheading 5 Char"/>
    <w:basedOn w:val="DefaultParagraphFont"/>
    <w:link w:val="CitaviBibliographySubheading5"/>
    <w:rsid w:val="00581A0B"/>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581A0B"/>
    <w:pPr>
      <w:tabs>
        <w:tab w:val="left" w:pos="1134"/>
      </w:tabs>
      <w:outlineLvl w:val="9"/>
    </w:pPr>
    <w:rPr>
      <w:szCs w:val="22"/>
    </w:rPr>
  </w:style>
  <w:style w:type="character" w:customStyle="1" w:styleId="CitaviBibliographySubheading6Char">
    <w:name w:val="Citavi Bibliography Subheading 6 Char"/>
    <w:basedOn w:val="DefaultParagraphFont"/>
    <w:link w:val="CitaviBibliographySubheading6"/>
    <w:rsid w:val="00581A0B"/>
    <w:rPr>
      <w:rFonts w:ascii="Arial" w:hAnsi="Arial"/>
      <w:sz w:val="22"/>
      <w:szCs w:val="22"/>
      <w:lang w:eastAsia="en-US" w:bidi="en-US"/>
    </w:rPr>
  </w:style>
  <w:style w:type="paragraph" w:customStyle="1" w:styleId="CitaviBibliographySubheading7">
    <w:name w:val="Citavi Bibliography Subheading 7"/>
    <w:basedOn w:val="Heading8"/>
    <w:link w:val="CitaviBibliographySubheading7Char"/>
    <w:rsid w:val="00581A0B"/>
    <w:pPr>
      <w:tabs>
        <w:tab w:val="left" w:pos="1134"/>
      </w:tabs>
      <w:outlineLvl w:val="9"/>
    </w:pPr>
    <w:rPr>
      <w:szCs w:val="22"/>
    </w:rPr>
  </w:style>
  <w:style w:type="character" w:customStyle="1" w:styleId="CitaviBibliographySubheading7Char">
    <w:name w:val="Citavi Bibliography Subheading 7 Char"/>
    <w:basedOn w:val="DefaultParagraphFont"/>
    <w:link w:val="CitaviBibliographySubheading7"/>
    <w:rsid w:val="00581A0B"/>
    <w:rPr>
      <w:rFonts w:ascii="Arial" w:hAnsi="Arial"/>
      <w:i/>
      <w:iCs/>
      <w:sz w:val="22"/>
      <w:szCs w:val="22"/>
      <w:lang w:eastAsia="en-US" w:bidi="en-US"/>
    </w:rPr>
  </w:style>
  <w:style w:type="paragraph" w:customStyle="1" w:styleId="CitaviBibliographySubheading8">
    <w:name w:val="Citavi Bibliography Subheading 8"/>
    <w:basedOn w:val="Heading9"/>
    <w:link w:val="CitaviBibliographySubheading8Char"/>
    <w:rsid w:val="00581A0B"/>
    <w:pPr>
      <w:tabs>
        <w:tab w:val="left" w:pos="1134"/>
      </w:tabs>
      <w:outlineLvl w:val="9"/>
    </w:pPr>
  </w:style>
  <w:style w:type="character" w:customStyle="1" w:styleId="CitaviBibliographySubheading8Char">
    <w:name w:val="Citavi Bibliography Subheading 8 Char"/>
    <w:basedOn w:val="DefaultParagraphFont"/>
    <w:link w:val="CitaviBibliographySubheading8"/>
    <w:rsid w:val="00581A0B"/>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8252">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2506221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16833385">
      <w:bodyDiv w:val="1"/>
      <w:marLeft w:val="0"/>
      <w:marRight w:val="0"/>
      <w:marTop w:val="0"/>
      <w:marBottom w:val="0"/>
      <w:divBdr>
        <w:top w:val="none" w:sz="0" w:space="0" w:color="auto"/>
        <w:left w:val="none" w:sz="0" w:space="0" w:color="auto"/>
        <w:bottom w:val="none" w:sz="0" w:space="0" w:color="auto"/>
        <w:right w:val="none" w:sz="0" w:space="0" w:color="auto"/>
      </w:divBdr>
    </w:div>
    <w:div w:id="203168557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www.foodstandards.gov.au/code/proposals/Pages/P1052.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fpsc-anz.com/" TargetMode="External"/><Relationship Id="rId3" Type="http://schemas.openxmlformats.org/officeDocument/2006/relationships/hyperlink" Target="https://www.foodstandards.gov.au/foodsafety/culture/Pages/default.aspx" TargetMode="External"/><Relationship Id="rId7" Type="http://schemas.openxmlformats.org/officeDocument/2006/relationships/hyperlink" Target="https://farmersmarkets.org.au/" TargetMode="External"/><Relationship Id="rId12" Type="http://schemas.openxmlformats.org/officeDocument/2006/relationships/hyperlink" Target="https://foodregulation.gov.au/internet/fr/publishing.nsf/Content/food-policies" TargetMode="External"/><Relationship Id="rId2" Type="http://schemas.openxmlformats.org/officeDocument/2006/relationships/hyperlink" Target="https://www.foodstandards.gov.au/code/proposals/Pages/proposalp1015primary5412.aspx" TargetMode="External"/><Relationship Id="rId1" Type="http://schemas.openxmlformats.org/officeDocument/2006/relationships/hyperlink" Target="https://foodregulation.gov.au/internet/fr/publishing.nsf/Content/strategies" TargetMode="External"/><Relationship Id="rId6" Type="http://schemas.openxmlformats.org/officeDocument/2006/relationships/hyperlink" Target="http://www.foodstandards.gov.au/code/proposals/Pages/proposalp1015primary5412.aspx" TargetMode="External"/><Relationship Id="rId11" Type="http://schemas.openxmlformats.org/officeDocument/2006/relationships/hyperlink" Target="https://www.foodstandards.gov.au/code/proposals/pages/proposalp1004primary4361.aspx" TargetMode="External"/><Relationship Id="rId5" Type="http://schemas.openxmlformats.org/officeDocument/2006/relationships/hyperlink" Target="https://www.inspection.gc.ca/food/archived-food-guidance/fresh-fruits-and-vegetables/food-safety/minimally-processed-ready-to-eat-fruit-and-vegetab/eng/1413673339210/1413673388676?chap=0" TargetMode="External"/><Relationship Id="rId10" Type="http://schemas.openxmlformats.org/officeDocument/2006/relationships/hyperlink" Target="https://www.agriculture.gov.au/market-access-trade/traceability-project" TargetMode="External"/><Relationship Id="rId4" Type="http://schemas.openxmlformats.org/officeDocument/2006/relationships/hyperlink" Target="https://www.foodstandards.gov.au/foodsafety/standards/review/Pages/default.aspx" TargetMode="External"/><Relationship Id="rId9" Type="http://schemas.openxmlformats.org/officeDocument/2006/relationships/hyperlink" Target="http://www.agriculture.gov.au/ag-farm-food/food/regulation-safety/food-export-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1AC3CC4E4043A4DBBB3652D049890EC" ma:contentTypeVersion="23" ma:contentTypeDescription="Files created by FSANZ including letters, draft documents and ideas for FSANZ business." ma:contentTypeScope="" ma:versionID="9616ad71cffa8fa0ba9b8cc8cd900d67">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7e329c68-5cbf-4e54-96e5-e53e71021bd2">WYJEUTFRV6AA-1270573402-1847</_dlc_DocId>
    <_dlc_DocIdUrl xmlns="7e329c68-5cbf-4e54-96e5-e53e71021bd2">
      <Url>http://fsanzapps/proposals/P1052/_layouts/15/DocIdRedir.aspx?ID=WYJEUTFRV6AA-1270573402-1847</Url>
      <Description>WYJEUTFRV6AA-1270573402-1847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72C5-A3E3-455B-9C6E-E42E4F6E9752}"/>
</file>

<file path=customXml/itemProps2.xml><?xml version="1.0" encoding="utf-8"?>
<ds:datastoreItem xmlns:ds="http://schemas.openxmlformats.org/officeDocument/2006/customXml" ds:itemID="{7A48F377-C5BA-49E1-99E8-FDD14594B371}"/>
</file>

<file path=customXml/itemProps3.xml><?xml version="1.0" encoding="utf-8"?>
<ds:datastoreItem xmlns:ds="http://schemas.openxmlformats.org/officeDocument/2006/customXml" ds:itemID="{3283782B-F107-496E-98D4-9F9D28F6DDC6}"/>
</file>

<file path=customXml/itemProps4.xml><?xml version="1.0" encoding="utf-8"?>
<ds:datastoreItem xmlns:ds="http://schemas.openxmlformats.org/officeDocument/2006/customXml" ds:itemID="{95E21E1C-F2F3-4AF9-8082-5D07E093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172C5-A3E3-455B-9C6E-E42E4F6E9752}">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7e329c68-5cbf-4e54-96e5-e53e71021bd2"/>
    <ds:schemaRef ds:uri="ec50576e-4a27-4780-a1e1-e59563bc70b8"/>
    <ds:schemaRef ds:uri="http://purl.org/dc/terms/"/>
  </ds:schemaRefs>
</ds:datastoreItem>
</file>

<file path=customXml/itemProps6.xml><?xml version="1.0" encoding="utf-8"?>
<ds:datastoreItem xmlns:ds="http://schemas.openxmlformats.org/officeDocument/2006/customXml" ds:itemID="{8A1F477B-7D26-4C2D-BEEA-B7AEF2A22FD5}"/>
</file>

<file path=customXml/itemProps7.xml><?xml version="1.0" encoding="utf-8"?>
<ds:datastoreItem xmlns:ds="http://schemas.openxmlformats.org/officeDocument/2006/customXml" ds:itemID="{CF55BF16-45D5-4E6F-BFFB-23A757AC47AC}"/>
</file>

<file path=docProps/app.xml><?xml version="1.0" encoding="utf-8"?>
<Properties xmlns="http://schemas.openxmlformats.org/officeDocument/2006/extended-properties" xmlns:vt="http://schemas.openxmlformats.org/officeDocument/2006/docPropsVTypes">
  <Template>Report - Call for submissions, assessment summary</Template>
  <TotalTime>1</TotalTime>
  <Pages>36</Pages>
  <Words>11865</Words>
  <Characters>67635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79342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SmithM</dc:creator>
  <cp:keywords/>
  <cp:lastModifiedBy>CoughC</cp:lastModifiedBy>
  <cp:revision>2</cp:revision>
  <cp:lastPrinted>2020-01-13T21:43:00Z</cp:lastPrinted>
  <dcterms:created xsi:type="dcterms:W3CDTF">2020-03-17T03:38:00Z</dcterms:created>
  <dcterms:modified xsi:type="dcterms:W3CDTF">2020-03-17T03:38:00Z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6312d3dc-1bcb-42cc-adea-6d21ca12e20d</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7;#FOOD STANDARDS:Evaluation|43bd8487-b9f6-4055-946c-a118d364275d</vt:lpwstr>
  </property>
  <property fmtid="{D5CDD505-2E9C-101B-9397-08002B2CF9AE}" pid="8" name="_dlc_DocIdItemGuid">
    <vt:lpwstr>573cbbc6-f682-4e1c-8cfc-9d0579db1f8f</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CitaviDocumentProperty_8">
    <vt:lpwstr>\\fsanzapps\DavWWWRoot\proposals\P1052\Shared Documents\Working folder\References and Resources\Citavi Database - P1052 Hort PPP\Citavi Database - P1052 Hort PPP.ctv5</vt:lpwstr>
  </property>
  <property fmtid="{D5CDD505-2E9C-101B-9397-08002B2CF9AE}" pid="13" name="CitaviDocumentProperty_7">
    <vt:lpwstr>Citavi Database - P1052 Hort PPP</vt:lpwstr>
  </property>
  <property fmtid="{D5CDD505-2E9C-101B-9397-08002B2CF9AE}" pid="14" name="CitaviDocumentProperty_0">
    <vt:lpwstr>9563ff4a-b601-4e5c-b658-cdca4023c4db</vt:lpwstr>
  </property>
  <property fmtid="{D5CDD505-2E9C-101B-9397-08002B2CF9AE}" pid="15" name="CitaviDocumentProperty_1">
    <vt:lpwstr>5.5.0.1</vt:lpwstr>
  </property>
  <property fmtid="{D5CDD505-2E9C-101B-9397-08002B2CF9AE}" pid="16" name="CitaviDocumentProperty_6">
    <vt:lpwstr>True</vt:lpwstr>
  </property>
  <property fmtid="{D5CDD505-2E9C-101B-9397-08002B2CF9AE}" pid="17" name="RecordPoint_WorkflowType">
    <vt:lpwstr>ActiveSubmitStub</vt:lpwstr>
  </property>
  <property fmtid="{D5CDD505-2E9C-101B-9397-08002B2CF9AE}" pid="18" name="RecordPoint_ActiveItemUniqueId">
    <vt:lpwstr>{bc567887-e89b-4de4-b3e3-58768c965682}</vt:lpwstr>
  </property>
  <property fmtid="{D5CDD505-2E9C-101B-9397-08002B2CF9AE}" pid="19" name="RecordPoint_ActiveItemWebId">
    <vt:lpwstr>{97e978f4-511a-4ec7-94bb-bbb94bd0a2f8}</vt:lpwstr>
  </property>
  <property fmtid="{D5CDD505-2E9C-101B-9397-08002B2CF9AE}" pid="20" name="RecordPoint_ActiveItemSiteId">
    <vt:lpwstr>{dd95a578-5c6a-4f11-92f7-f95884d628d6}</vt:lpwstr>
  </property>
  <property fmtid="{D5CDD505-2E9C-101B-9397-08002B2CF9AE}" pid="21" name="RecordPoint_ActiveItemListId">
    <vt:lpwstr>{477daa7b-e292-4da2-aa13-f17fd3269158}</vt:lpwstr>
  </property>
  <property fmtid="{D5CDD505-2E9C-101B-9397-08002B2CF9AE}" pid="22" name="RecordPoint_RecordNumberSubmitted">
    <vt:lpwstr>R0000119115</vt:lpwstr>
  </property>
  <property fmtid="{D5CDD505-2E9C-101B-9397-08002B2CF9AE}" pid="23" name="RecordPoint_SubmissionCompleted">
    <vt:lpwstr>2020-01-21T19:35:16.1068548+11:00</vt:lpwstr>
  </property>
</Properties>
</file>